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2B" w:rsidRDefault="00F0202B">
      <w:pPr>
        <w:pStyle w:val="Style11"/>
        <w:widowControl/>
        <w:jc w:val="center"/>
        <w:rPr>
          <w:rStyle w:val="FontStyle40"/>
        </w:rPr>
      </w:pPr>
      <w:bookmarkStart w:id="0" w:name="_GoBack"/>
      <w:bookmarkEnd w:id="0"/>
      <w:r>
        <w:rPr>
          <w:rStyle w:val="FontStyle40"/>
        </w:rPr>
        <w:t>PRÍLOHA II</w:t>
      </w:r>
    </w:p>
    <w:p w:rsidR="00F0202B" w:rsidRDefault="00F0202B">
      <w:pPr>
        <w:pStyle w:val="Style22"/>
        <w:widowControl/>
        <w:spacing w:line="240" w:lineRule="exact"/>
        <w:ind w:left="504"/>
        <w:rPr>
          <w:sz w:val="20"/>
          <w:szCs w:val="20"/>
        </w:rPr>
      </w:pPr>
    </w:p>
    <w:p w:rsidR="00F0202B" w:rsidRDefault="00F0202B">
      <w:pPr>
        <w:pStyle w:val="Style22"/>
        <w:widowControl/>
        <w:spacing w:before="8" w:line="212" w:lineRule="exact"/>
        <w:ind w:left="504"/>
        <w:rPr>
          <w:rStyle w:val="FontStyle41"/>
          <w:spacing w:val="20"/>
        </w:rPr>
      </w:pPr>
      <w:r>
        <w:rPr>
          <w:rStyle w:val="FontStyle41"/>
        </w:rPr>
        <w:t xml:space="preserve">Informácie o štátnej pomoci oslobodenej od notifikačnej povinnosti, ktoré sa majú poskytovať prostredníctvom IT aplikácie Komisie, ako sa stanovuje v článku </w:t>
      </w:r>
      <w:r>
        <w:rPr>
          <w:rStyle w:val="FontStyle41"/>
          <w:spacing w:val="20"/>
        </w:rPr>
        <w:t>11</w:t>
      </w:r>
    </w:p>
    <w:p w:rsidR="00F0202B" w:rsidRDefault="00F0202B">
      <w:pPr>
        <w:widowControl/>
        <w:spacing w:after="38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5"/>
        <w:gridCol w:w="2923"/>
        <w:gridCol w:w="148"/>
        <w:gridCol w:w="3895"/>
      </w:tblGrid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right="540" w:firstLine="4"/>
              <w:rPr>
                <w:rStyle w:val="FontStyle36"/>
              </w:rPr>
            </w:pPr>
            <w:r>
              <w:rPr>
                <w:rStyle w:val="FontStyle36"/>
              </w:rPr>
              <w:t>Referenčné číslo pomoci</w:t>
            </w: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0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(vyplní Komisia )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Členský štát</w:t>
            </w: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right="540" w:firstLine="4"/>
              <w:rPr>
                <w:rStyle w:val="FontStyle36"/>
              </w:rPr>
            </w:pPr>
            <w:r>
              <w:rPr>
                <w:rStyle w:val="FontStyle36"/>
              </w:rPr>
              <w:t>Referenčné číslo členského štátu:</w:t>
            </w: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Región</w:t>
            </w:r>
          </w:p>
        </w:tc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 w:rsidP="009D007D">
            <w:pPr>
              <w:pStyle w:val="Style25"/>
              <w:widowControl/>
              <w:spacing w:line="240" w:lineRule="auto"/>
              <w:rPr>
                <w:rStyle w:val="FontStyle35"/>
                <w:spacing w:val="40"/>
              </w:rPr>
            </w:pPr>
            <w:r>
              <w:rPr>
                <w:rStyle w:val="FontStyle36"/>
              </w:rPr>
              <w:t>Názov regiónu(-ov)</w:t>
            </w:r>
            <w:r>
              <w:rPr>
                <w:rStyle w:val="FontStyle36"/>
                <w:lang w:val="en-US"/>
              </w:rPr>
              <w:t xml:space="preserve"> </w:t>
            </w:r>
            <w:r>
              <w:rPr>
                <w:rStyle w:val="FontStyle35"/>
                <w:lang w:val="en-US"/>
              </w:rPr>
              <w:t>(NUTS</w:t>
            </w:r>
            <w:r>
              <w:rPr>
                <w:rStyle w:val="FontStyle35"/>
              </w:rPr>
              <w:t xml:space="preserve"> </w:t>
            </w:r>
            <w:r w:rsidR="009D007D">
              <w:rPr>
                <w:rStyle w:val="FontStyle35"/>
              </w:rPr>
              <w:t>(1)</w:t>
            </w:r>
            <w:r>
              <w:rPr>
                <w:rStyle w:val="FontStyle35"/>
                <w:spacing w:val="40"/>
              </w:rPr>
              <w:t>)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29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29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2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left="4" w:hanging="4"/>
              <w:rPr>
                <w:rStyle w:val="FontStyle36"/>
              </w:rPr>
            </w:pPr>
            <w:r>
              <w:rPr>
                <w:rStyle w:val="FontStyle36"/>
              </w:rPr>
              <w:t>Orgán poskytujúci pomoc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Názov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59" w:lineRule="exact"/>
              <w:ind w:right="1361" w:firstLine="7"/>
              <w:rPr>
                <w:rStyle w:val="FontStyle36"/>
              </w:rPr>
            </w:pPr>
            <w:r>
              <w:rPr>
                <w:rStyle w:val="FontStyle36"/>
              </w:rPr>
              <w:t>Poštová adresa Webová adresa</w:t>
            </w: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29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2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4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right="590" w:firstLine="4"/>
              <w:rPr>
                <w:rStyle w:val="FontStyle36"/>
              </w:rPr>
            </w:pPr>
            <w:r>
              <w:rPr>
                <w:rStyle w:val="FontStyle36"/>
              </w:rPr>
              <w:t>Názov opatrenia pomoci</w:t>
            </w: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16" w:lineRule="exact"/>
              <w:ind w:left="11" w:hanging="11"/>
              <w:rPr>
                <w:rStyle w:val="FontStyle36"/>
              </w:rPr>
            </w:pPr>
            <w:r>
              <w:rPr>
                <w:rStyle w:val="FontStyle36"/>
              </w:rPr>
              <w:t>Vnútroštátny právny základ (odkaz na príslušný vnútroštátny právny nástroj)</w:t>
            </w: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left="11" w:hanging="11"/>
              <w:rPr>
                <w:rStyle w:val="FontStyle36"/>
              </w:rPr>
            </w:pPr>
            <w:r>
              <w:rPr>
                <w:rStyle w:val="FontStyle36"/>
              </w:rPr>
              <w:t>Webový odkaz na úplné znenie opatrenia pomoci</w:t>
            </w: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6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Typ opatrenia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Schéma pomoci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"/>
              <w:widowControl/>
              <w:rPr>
                <w:rStyle w:val="FontStyle35"/>
              </w:rPr>
            </w:pPr>
            <w:r>
              <w:rPr>
                <w:rStyle w:val="FontStyle35"/>
              </w:rPr>
              <w:t xml:space="preserve">□ </w:t>
            </w:r>
            <w:r w:rsidRPr="009D007D">
              <w:rPr>
                <w:rStyle w:val="FontStyle35"/>
                <w:b/>
              </w:rPr>
              <w:t>pomoc ad hoc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right="259"/>
              <w:rPr>
                <w:rStyle w:val="FontStyle36"/>
              </w:rPr>
            </w:pPr>
            <w:r>
              <w:rPr>
                <w:rStyle w:val="FontStyle36"/>
              </w:rPr>
              <w:t>Názov príjemcu a skupiny (</w:t>
            </w:r>
            <w:r>
              <w:rPr>
                <w:rStyle w:val="FontStyle36"/>
                <w:vertAlign w:val="superscript"/>
              </w:rPr>
              <w:t>2</w:t>
            </w:r>
            <w:r>
              <w:rPr>
                <w:rStyle w:val="FontStyle36"/>
              </w:rPr>
              <w:t>), ku ktorej patrí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16" w:lineRule="exact"/>
              <w:ind w:left="7" w:hanging="7"/>
              <w:rPr>
                <w:rStyle w:val="FontStyle35"/>
              </w:rPr>
            </w:pPr>
            <w:r>
              <w:rPr>
                <w:rStyle w:val="FontStyle36"/>
              </w:rPr>
              <w:t xml:space="preserve">Zmena existujúcej schémy pomoci alebo pomoci </w:t>
            </w:r>
            <w:r w:rsidRPr="009D007D">
              <w:rPr>
                <w:rStyle w:val="FontStyle35"/>
                <w:b/>
              </w:rPr>
              <w:t>ad hoc</w:t>
            </w:r>
          </w:p>
        </w:tc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16" w:lineRule="exact"/>
              <w:ind w:right="587"/>
              <w:rPr>
                <w:rStyle w:val="FontStyle36"/>
              </w:rPr>
            </w:pPr>
            <w:r>
              <w:rPr>
                <w:rStyle w:val="FontStyle36"/>
              </w:rPr>
              <w:t>Referenčné číslo pomoci pridelené Komisiou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30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Predĺženie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Zmena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</w:tbl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tabs>
          <w:tab w:val="left" w:pos="266"/>
        </w:tabs>
        <w:spacing w:before="65" w:line="194" w:lineRule="exact"/>
        <w:ind w:firstLine="0"/>
        <w:jc w:val="left"/>
        <w:rPr>
          <w:rStyle w:val="FontStyle42"/>
        </w:rPr>
      </w:pPr>
      <w:r>
        <w:rPr>
          <w:rStyle w:val="FontStyle37"/>
        </w:rPr>
        <w:t>(</w:t>
      </w:r>
      <w:r>
        <w:rPr>
          <w:rStyle w:val="FontStyle37"/>
          <w:vertAlign w:val="superscript"/>
        </w:rPr>
        <w:t>1</w:t>
      </w:r>
      <w:r>
        <w:rPr>
          <w:rStyle w:val="FontStyle37"/>
        </w:rPr>
        <w:t>)</w:t>
      </w:r>
      <w:r>
        <w:rPr>
          <w:rStyle w:val="FontStyle37"/>
        </w:rPr>
        <w:tab/>
        <w:t xml:space="preserve">NUTS - Nomenklatúra územných jednotiek na štatistické účely. Región sa zvyčajne vymedzuje na úrovni </w:t>
      </w:r>
      <w:r>
        <w:rPr>
          <w:rStyle w:val="FontStyle42"/>
        </w:rPr>
        <w:t>2.</w:t>
      </w:r>
    </w:p>
    <w:p w:rsidR="00F0202B" w:rsidRDefault="00F0202B">
      <w:pPr>
        <w:pStyle w:val="Style26"/>
        <w:widowControl/>
        <w:tabs>
          <w:tab w:val="left" w:pos="266"/>
        </w:tabs>
        <w:spacing w:line="194" w:lineRule="exact"/>
        <w:ind w:left="266"/>
        <w:rPr>
          <w:rStyle w:val="FontStyle37"/>
        </w:rPr>
      </w:pPr>
      <w:r>
        <w:rPr>
          <w:rStyle w:val="FontStyle37"/>
        </w:rPr>
        <w:t>(</w:t>
      </w:r>
      <w:r>
        <w:rPr>
          <w:rStyle w:val="FontStyle37"/>
          <w:vertAlign w:val="superscript"/>
        </w:rPr>
        <w:t>2</w:t>
      </w:r>
      <w:r>
        <w:rPr>
          <w:rStyle w:val="FontStyle37"/>
        </w:rPr>
        <w:t>)</w:t>
      </w:r>
      <w:r>
        <w:rPr>
          <w:rStyle w:val="FontStyle37"/>
        </w:rPr>
        <w:tab/>
        <w:t>Na účely pravidiel hospodárskej súťaže uvedených v zmluve a na účely tohto nariadenia sa podnikom rozumie každý</w:t>
      </w:r>
      <w:r>
        <w:rPr>
          <w:rStyle w:val="FontStyle37"/>
        </w:rPr>
        <w:br/>
        <w:t>subjekt vykonávajúci hospodársku činnosť bez ohľadu na jeho právne postavenie a spôsob jeho financovania. Súdny</w:t>
      </w:r>
      <w:r>
        <w:rPr>
          <w:rStyle w:val="FontStyle37"/>
        </w:rPr>
        <w:br/>
        <w:t>dvor rozhodol, že subjekty, ktoré sú kontrolované (právne alebo de facto) tým istým subjektom, by sa mali pokladať za</w:t>
      </w:r>
      <w:r>
        <w:rPr>
          <w:rStyle w:val="FontStyle37"/>
        </w:rPr>
        <w:br/>
        <w:t>jeden podnik.</w:t>
      </w:r>
    </w:p>
    <w:p w:rsidR="00F0202B" w:rsidRDefault="00F0202B">
      <w:pPr>
        <w:pStyle w:val="Style26"/>
        <w:widowControl/>
        <w:tabs>
          <w:tab w:val="left" w:pos="266"/>
        </w:tabs>
        <w:spacing w:line="194" w:lineRule="exact"/>
        <w:ind w:left="266"/>
        <w:rPr>
          <w:rStyle w:val="FontStyle37"/>
        </w:rPr>
        <w:sectPr w:rsidR="00F0202B">
          <w:headerReference w:type="default" r:id="rId8"/>
          <w:footerReference w:type="default" r:id="rId9"/>
          <w:pgSz w:w="11905" w:h="16837"/>
          <w:pgMar w:top="1624" w:right="1357" w:bottom="1256" w:left="1357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5"/>
        <w:gridCol w:w="3074"/>
        <w:gridCol w:w="3895"/>
      </w:tblGrid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Trvanie (</w:t>
            </w:r>
            <w:r>
              <w:rPr>
                <w:rStyle w:val="FontStyle36"/>
                <w:vertAlign w:val="superscript"/>
              </w:rPr>
              <w:t>3</w:t>
            </w:r>
            <w:r>
              <w:rPr>
                <w:rStyle w:val="FontStyle36"/>
              </w:rPr>
              <w:t>)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Schéma pomoci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0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dd/mm/rrrr - dd/mm/rrrr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right="349"/>
              <w:rPr>
                <w:rStyle w:val="FontStyle36"/>
              </w:rPr>
            </w:pPr>
            <w:r>
              <w:rPr>
                <w:rStyle w:val="FontStyle36"/>
              </w:rPr>
              <w:t>Dátum poskytnutia pomoci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"/>
              <w:widowControl/>
              <w:rPr>
                <w:rStyle w:val="FontStyle35"/>
              </w:rPr>
            </w:pPr>
            <w:r>
              <w:rPr>
                <w:rStyle w:val="FontStyle35"/>
              </w:rPr>
              <w:t xml:space="preserve">□ </w:t>
            </w:r>
            <w:r w:rsidRPr="009D007D">
              <w:rPr>
                <w:rStyle w:val="FontStyle35"/>
                <w:b/>
              </w:rPr>
              <w:t>pomoc ad hoc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0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dd/mm/rrrr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right="382"/>
              <w:rPr>
                <w:rStyle w:val="FontStyle36"/>
              </w:rPr>
            </w:pPr>
            <w:r>
              <w:rPr>
                <w:rStyle w:val="FontStyle36"/>
              </w:rPr>
              <w:t>Príslušné odvetvia hospodárstva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spacing w:line="220" w:lineRule="exact"/>
              <w:rPr>
                <w:rStyle w:val="FontStyle36"/>
              </w:rPr>
            </w:pPr>
            <w:r>
              <w:rPr>
                <w:rStyle w:val="FontStyle36"/>
              </w:rPr>
              <w:t>□ Všetky odvetvia</w:t>
            </w:r>
          </w:p>
          <w:p w:rsidR="00F0202B" w:rsidRDefault="00F0202B">
            <w:pPr>
              <w:pStyle w:val="Style25"/>
              <w:widowControl/>
              <w:ind w:right="94"/>
              <w:rPr>
                <w:rStyle w:val="FontStyle36"/>
              </w:rPr>
            </w:pPr>
            <w:r>
              <w:rPr>
                <w:rStyle w:val="FontStyle36"/>
              </w:rPr>
              <w:t>hospodárstva oprávnené na pomoc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spacing w:line="220" w:lineRule="exact"/>
              <w:ind w:right="29"/>
              <w:rPr>
                <w:rStyle w:val="FontStyle36"/>
              </w:rPr>
            </w:pPr>
            <w:r>
              <w:rPr>
                <w:rStyle w:val="FontStyle36"/>
              </w:rPr>
              <w:t>□ Pomoc obmedzená na určité odvetvia: Uveďte v súlade s NACE na úrovni skupiny (</w:t>
            </w:r>
            <w:r>
              <w:rPr>
                <w:rStyle w:val="FontStyle36"/>
                <w:vertAlign w:val="superscript"/>
              </w:rPr>
              <w:t>4</w:t>
            </w:r>
            <w:r>
              <w:rPr>
                <w:rStyle w:val="FontStyle36"/>
              </w:rPr>
              <w:t>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Typ príjemcu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MSP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Veľké podniky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Rozpočet</w:t>
            </w:r>
          </w:p>
        </w:tc>
        <w:tc>
          <w:tcPr>
            <w:tcW w:w="3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right="184" w:firstLine="4"/>
              <w:rPr>
                <w:rStyle w:val="FontStyle36"/>
              </w:rPr>
            </w:pPr>
            <w:r>
              <w:rPr>
                <w:rStyle w:val="FontStyle36"/>
              </w:rPr>
              <w:t>Celková ročná výška rozpočtu plánovaného podľa schémy pomoci (</w:t>
            </w:r>
            <w:r>
              <w:rPr>
                <w:rStyle w:val="FontStyle36"/>
                <w:vertAlign w:val="superscript"/>
              </w:rPr>
              <w:t>5</w:t>
            </w:r>
            <w:r>
              <w:rPr>
                <w:rStyle w:val="FontStyle36"/>
              </w:rPr>
              <w:t>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tabs>
                <w:tab w:val="left" w:leader="dot" w:pos="2239"/>
              </w:tabs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v národnej mene </w:t>
            </w:r>
            <w:r>
              <w:rPr>
                <w:rStyle w:val="FontStyle36"/>
              </w:rPr>
              <w:tab/>
              <w:t>(v plnej výške)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right="202" w:firstLine="4"/>
              <w:rPr>
                <w:rStyle w:val="FontStyle36"/>
              </w:rPr>
            </w:pPr>
            <w:r>
              <w:rPr>
                <w:rStyle w:val="FontStyle36"/>
              </w:rPr>
              <w:t xml:space="preserve">Celková výška pomoci </w:t>
            </w:r>
            <w:r>
              <w:rPr>
                <w:rStyle w:val="FontStyle35"/>
              </w:rPr>
              <w:t xml:space="preserve">ad hoc </w:t>
            </w:r>
            <w:r>
              <w:rPr>
                <w:rStyle w:val="FontStyle36"/>
              </w:rPr>
              <w:t>poskytnutej podniku (</w:t>
            </w:r>
            <w:r>
              <w:rPr>
                <w:rStyle w:val="FontStyle36"/>
                <w:vertAlign w:val="superscript"/>
              </w:rPr>
              <w:t>6</w:t>
            </w:r>
            <w:r>
              <w:rPr>
                <w:rStyle w:val="FontStyle36"/>
              </w:rPr>
              <w:t>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tabs>
                <w:tab w:val="left" w:leader="dot" w:pos="2239"/>
              </w:tabs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v národnej mene </w:t>
            </w:r>
            <w:r>
              <w:rPr>
                <w:rStyle w:val="FontStyle36"/>
              </w:rPr>
              <w:tab/>
              <w:t>(v plnej výške)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30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V rámci garancií (</w:t>
            </w:r>
            <w:r>
              <w:rPr>
                <w:rStyle w:val="FontStyle36"/>
                <w:vertAlign w:val="superscript"/>
              </w:rPr>
              <w:t>7</w:t>
            </w:r>
            <w:r>
              <w:rPr>
                <w:rStyle w:val="FontStyle36"/>
              </w:rPr>
              <w:t>)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tabs>
                <w:tab w:val="left" w:leader="dot" w:pos="2239"/>
              </w:tabs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 xml:space="preserve">v národnej mene </w:t>
            </w:r>
            <w:r>
              <w:rPr>
                <w:rStyle w:val="FontStyle36"/>
              </w:rPr>
              <w:tab/>
              <w:t>(v plnej výške)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30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Nástroj pomoci</w:t>
            </w: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Grant/Bonifikácia úrokovej sadzby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Úver/Vratné preddavky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Garancia (v prípade potreby odkaz na rozhodnutie Komisie (</w:t>
            </w:r>
            <w:r>
              <w:rPr>
                <w:rStyle w:val="FontStyle36"/>
                <w:vertAlign w:val="superscript"/>
              </w:rPr>
              <w:t>8</w:t>
            </w:r>
            <w:r>
              <w:rPr>
                <w:rStyle w:val="FontStyle36"/>
              </w:rPr>
              <w:t>))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Daňové zvýhodnenie alebo oslobodenie od dane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widowControl/>
            </w:pPr>
          </w:p>
          <w:p w:rsidR="00F0202B" w:rsidRDefault="00F0202B">
            <w:pPr>
              <w:widowControl/>
            </w:pP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9"/>
              <w:widowControl/>
              <w:rPr>
                <w:rStyle w:val="FontStyle36"/>
              </w:rPr>
            </w:pPr>
            <w:r>
              <w:rPr>
                <w:rStyle w:val="FontStyle36"/>
              </w:rPr>
              <w:t>□ Iné (špecifikujte)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widowControl/>
              <w:rPr>
                <w:rStyle w:val="FontStyle36"/>
              </w:rPr>
            </w:pPr>
          </w:p>
          <w:p w:rsidR="00F0202B" w:rsidRDefault="00F0202B">
            <w:pPr>
              <w:widowControl/>
              <w:rPr>
                <w:rStyle w:val="FontStyle36"/>
              </w:rPr>
            </w:pPr>
          </w:p>
        </w:tc>
        <w:tc>
          <w:tcPr>
            <w:tcW w:w="6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23" w:lineRule="exact"/>
              <w:ind w:right="760" w:firstLine="11"/>
              <w:rPr>
                <w:rStyle w:val="FontStyle36"/>
              </w:rPr>
            </w:pPr>
            <w:r>
              <w:rPr>
                <w:rStyle w:val="FontStyle36"/>
              </w:rPr>
              <w:t>Uveďte, ktorej z ďalej uvedených širších kategórií by štátna pomoc najlepšie zodpovedala z hľadiska jej účinku/funkcie:</w:t>
            </w:r>
          </w:p>
          <w:p w:rsidR="00F0202B" w:rsidRDefault="00F0202B">
            <w:pPr>
              <w:pStyle w:val="Style19"/>
              <w:widowControl/>
              <w:tabs>
                <w:tab w:val="left" w:pos="349"/>
              </w:tabs>
              <w:spacing w:line="248" w:lineRule="exact"/>
              <w:rPr>
                <w:rStyle w:val="FontStyle36"/>
              </w:rPr>
            </w:pPr>
            <w:r>
              <w:rPr>
                <w:rStyle w:val="FontStyle36"/>
              </w:rPr>
              <w:t>□</w:t>
            </w:r>
            <w:r>
              <w:rPr>
                <w:rStyle w:val="FontStyle36"/>
              </w:rPr>
              <w:tab/>
              <w:t>Grant</w:t>
            </w:r>
          </w:p>
          <w:p w:rsidR="00F0202B" w:rsidRDefault="00F0202B">
            <w:pPr>
              <w:pStyle w:val="Style19"/>
              <w:widowControl/>
              <w:tabs>
                <w:tab w:val="left" w:pos="349"/>
              </w:tabs>
              <w:spacing w:line="248" w:lineRule="exact"/>
              <w:rPr>
                <w:rStyle w:val="FontStyle36"/>
              </w:rPr>
            </w:pPr>
            <w:r>
              <w:rPr>
                <w:rStyle w:val="FontStyle36"/>
              </w:rPr>
              <w:t>□</w:t>
            </w:r>
            <w:r>
              <w:rPr>
                <w:rStyle w:val="FontStyle36"/>
              </w:rPr>
              <w:tab/>
              <w:t>Úver</w:t>
            </w:r>
          </w:p>
          <w:p w:rsidR="00F0202B" w:rsidRDefault="00F0202B">
            <w:pPr>
              <w:pStyle w:val="Style19"/>
              <w:widowControl/>
              <w:tabs>
                <w:tab w:val="left" w:pos="349"/>
              </w:tabs>
              <w:spacing w:line="248" w:lineRule="exact"/>
              <w:rPr>
                <w:rStyle w:val="FontStyle36"/>
              </w:rPr>
            </w:pPr>
            <w:r>
              <w:rPr>
                <w:rStyle w:val="FontStyle36"/>
              </w:rPr>
              <w:t>□</w:t>
            </w:r>
            <w:r>
              <w:rPr>
                <w:rStyle w:val="FontStyle36"/>
              </w:rPr>
              <w:tab/>
              <w:t>Garancia</w:t>
            </w:r>
          </w:p>
          <w:p w:rsidR="00F0202B" w:rsidRDefault="00F0202B">
            <w:pPr>
              <w:pStyle w:val="Style19"/>
              <w:widowControl/>
              <w:tabs>
                <w:tab w:val="left" w:pos="349"/>
              </w:tabs>
              <w:spacing w:line="248" w:lineRule="exact"/>
              <w:rPr>
                <w:rStyle w:val="FontStyle36"/>
              </w:rPr>
            </w:pPr>
            <w:r>
              <w:rPr>
                <w:rStyle w:val="FontStyle36"/>
              </w:rPr>
              <w:t>□</w:t>
            </w:r>
            <w:r>
              <w:rPr>
                <w:rStyle w:val="FontStyle36"/>
              </w:rPr>
              <w:tab/>
              <w:t>Daňové zvýhodnenie</w:t>
            </w:r>
          </w:p>
        </w:tc>
      </w:tr>
    </w:tbl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202B" w:rsidRDefault="00F0202B">
      <w:pPr>
        <w:pStyle w:val="Style26"/>
        <w:widowControl/>
        <w:tabs>
          <w:tab w:val="left" w:pos="274"/>
        </w:tabs>
        <w:spacing w:before="161" w:line="194" w:lineRule="exact"/>
        <w:ind w:firstLine="0"/>
        <w:jc w:val="left"/>
        <w:rPr>
          <w:rStyle w:val="FontStyle37"/>
        </w:rPr>
      </w:pPr>
      <w:r>
        <w:rPr>
          <w:rStyle w:val="FontStyle37"/>
        </w:rPr>
        <w:t>(</w:t>
      </w:r>
      <w:r>
        <w:rPr>
          <w:rStyle w:val="FontStyle37"/>
          <w:vertAlign w:val="superscript"/>
        </w:rPr>
        <w:t>3</w:t>
      </w:r>
      <w:r>
        <w:rPr>
          <w:rStyle w:val="FontStyle37"/>
        </w:rPr>
        <w:t>)</w:t>
      </w:r>
      <w:r>
        <w:rPr>
          <w:rStyle w:val="FontStyle37"/>
        </w:rPr>
        <w:tab/>
        <w:t>Obdobie, na ktoré sa orgán poskytujúci pomoc môže zaviazať, že bude pomoc poskytovať.</w:t>
      </w:r>
    </w:p>
    <w:p w:rsidR="00F0202B" w:rsidRDefault="00F0202B">
      <w:pPr>
        <w:pStyle w:val="Style26"/>
        <w:widowControl/>
        <w:tabs>
          <w:tab w:val="left" w:pos="274"/>
        </w:tabs>
        <w:spacing w:line="194" w:lineRule="exact"/>
        <w:ind w:left="274" w:hanging="274"/>
        <w:jc w:val="left"/>
        <w:rPr>
          <w:rStyle w:val="FontStyle37"/>
        </w:rPr>
      </w:pPr>
      <w:r>
        <w:rPr>
          <w:rStyle w:val="FontStyle37"/>
        </w:rPr>
        <w:t>(</w:t>
      </w:r>
      <w:r>
        <w:rPr>
          <w:rStyle w:val="FontStyle37"/>
          <w:vertAlign w:val="superscript"/>
        </w:rPr>
        <w:t>4</w:t>
      </w:r>
      <w:r>
        <w:rPr>
          <w:rStyle w:val="FontStyle37"/>
        </w:rPr>
        <w:t>)</w:t>
      </w:r>
      <w:r>
        <w:rPr>
          <w:rStyle w:val="FontStyle37"/>
        </w:rPr>
        <w:tab/>
        <w:t>NACE Rev.2 - štatistická klasifikácia ekonomických činností v Európskej únii. Odvetvie sa zvyčajne vymedzuje na</w:t>
      </w:r>
      <w:r>
        <w:rPr>
          <w:rStyle w:val="FontStyle37"/>
        </w:rPr>
        <w:br/>
        <w:t>úrovni skupiny.</w:t>
      </w:r>
    </w:p>
    <w:p w:rsidR="00F0202B" w:rsidRDefault="00F0202B">
      <w:pPr>
        <w:pStyle w:val="Style26"/>
        <w:widowControl/>
        <w:tabs>
          <w:tab w:val="left" w:pos="274"/>
        </w:tabs>
        <w:spacing w:line="194" w:lineRule="exact"/>
        <w:ind w:left="274" w:hanging="274"/>
        <w:jc w:val="left"/>
        <w:rPr>
          <w:rStyle w:val="FontStyle37"/>
        </w:rPr>
      </w:pPr>
      <w:r>
        <w:rPr>
          <w:rStyle w:val="FontStyle37"/>
        </w:rPr>
        <w:t>(</w:t>
      </w:r>
      <w:r>
        <w:rPr>
          <w:rStyle w:val="FontStyle37"/>
          <w:vertAlign w:val="superscript"/>
        </w:rPr>
        <w:t>5</w:t>
      </w:r>
      <w:r>
        <w:rPr>
          <w:rStyle w:val="FontStyle37"/>
        </w:rPr>
        <w:t>)</w:t>
      </w:r>
      <w:r>
        <w:rPr>
          <w:rStyle w:val="FontStyle37"/>
        </w:rPr>
        <w:tab/>
        <w:t>V prípade schémy pomoci: uveďte celkovú ročnú výšku rozpočtu plánovaného podľa danej schémy alebo odhadovanú</w:t>
      </w:r>
      <w:r>
        <w:rPr>
          <w:rStyle w:val="FontStyle37"/>
        </w:rPr>
        <w:br/>
        <w:t>daňovú stratu na rok pre všetky nástroje pomoci zahrnuté v schéme.</w:t>
      </w:r>
    </w:p>
    <w:p w:rsidR="00F0202B" w:rsidRDefault="00F0202B">
      <w:pPr>
        <w:pStyle w:val="Style26"/>
        <w:widowControl/>
        <w:tabs>
          <w:tab w:val="left" w:pos="274"/>
        </w:tabs>
        <w:spacing w:line="194" w:lineRule="exact"/>
        <w:ind w:firstLine="0"/>
        <w:jc w:val="left"/>
        <w:rPr>
          <w:rStyle w:val="FontStyle37"/>
        </w:rPr>
      </w:pPr>
      <w:r>
        <w:rPr>
          <w:rStyle w:val="FontStyle37"/>
        </w:rPr>
        <w:t>(</w:t>
      </w:r>
      <w:r>
        <w:rPr>
          <w:rStyle w:val="FontStyle37"/>
          <w:vertAlign w:val="superscript"/>
        </w:rPr>
        <w:t>6</w:t>
      </w:r>
      <w:r>
        <w:rPr>
          <w:rStyle w:val="FontStyle37"/>
        </w:rPr>
        <w:t>)</w:t>
      </w:r>
      <w:r>
        <w:rPr>
          <w:rStyle w:val="FontStyle37"/>
        </w:rPr>
        <w:tab/>
        <w:t xml:space="preserve">V prípade poskytnutia pomoci </w:t>
      </w:r>
      <w:r>
        <w:rPr>
          <w:rStyle w:val="FontStyle38"/>
        </w:rPr>
        <w:t xml:space="preserve">ad hoc: </w:t>
      </w:r>
      <w:r>
        <w:rPr>
          <w:rStyle w:val="FontStyle37"/>
        </w:rPr>
        <w:t>uveďte celkovú výšku pomoci/daňovú stratu.</w:t>
      </w:r>
    </w:p>
    <w:p w:rsidR="00F0202B" w:rsidRDefault="00F0202B">
      <w:pPr>
        <w:pStyle w:val="Style26"/>
        <w:widowControl/>
        <w:tabs>
          <w:tab w:val="left" w:pos="274"/>
        </w:tabs>
        <w:spacing w:before="4" w:line="194" w:lineRule="exact"/>
        <w:ind w:firstLine="0"/>
        <w:jc w:val="left"/>
        <w:rPr>
          <w:rStyle w:val="FontStyle37"/>
        </w:rPr>
      </w:pPr>
      <w:r>
        <w:rPr>
          <w:rStyle w:val="FontStyle37"/>
        </w:rPr>
        <w:t>(</w:t>
      </w:r>
      <w:r>
        <w:rPr>
          <w:rStyle w:val="FontStyle37"/>
          <w:vertAlign w:val="superscript"/>
        </w:rPr>
        <w:t>7</w:t>
      </w:r>
      <w:r>
        <w:rPr>
          <w:rStyle w:val="FontStyle37"/>
        </w:rPr>
        <w:t>)</w:t>
      </w:r>
      <w:r>
        <w:rPr>
          <w:rStyle w:val="FontStyle37"/>
        </w:rPr>
        <w:tab/>
        <w:t>Pri garanciách uveďte (maximálnu) výšku garantovaných úverov.</w:t>
      </w:r>
    </w:p>
    <w:p w:rsidR="00F0202B" w:rsidRDefault="00F0202B">
      <w:pPr>
        <w:pStyle w:val="Style26"/>
        <w:widowControl/>
        <w:tabs>
          <w:tab w:val="left" w:pos="274"/>
        </w:tabs>
        <w:spacing w:before="36" w:line="194" w:lineRule="exact"/>
        <w:ind w:left="274" w:hanging="274"/>
        <w:jc w:val="left"/>
        <w:rPr>
          <w:rStyle w:val="FontStyle37"/>
        </w:rPr>
      </w:pPr>
      <w:r>
        <w:rPr>
          <w:rStyle w:val="FontStyle37"/>
        </w:rPr>
        <w:t>(</w:t>
      </w:r>
      <w:r>
        <w:rPr>
          <w:rStyle w:val="FontStyle37"/>
          <w:vertAlign w:val="superscript"/>
        </w:rPr>
        <w:t>8</w:t>
      </w:r>
      <w:r>
        <w:rPr>
          <w:rStyle w:val="FontStyle37"/>
        </w:rPr>
        <w:t>)</w:t>
      </w:r>
      <w:r>
        <w:rPr>
          <w:rStyle w:val="FontStyle37"/>
        </w:rPr>
        <w:tab/>
        <w:t>V prípade potreby odkaz na rozhodnutie Komisie, ktorým sa schvaľuje metodika výpočtu ekvivalentu hrubého grantu v</w:t>
      </w:r>
      <w:r>
        <w:rPr>
          <w:rStyle w:val="FontStyle37"/>
        </w:rPr>
        <w:br/>
        <w:t>súlade s článkom 5 ods. 2 písm. c).</w:t>
      </w:r>
    </w:p>
    <w:p w:rsidR="00F0202B" w:rsidRDefault="00F0202B">
      <w:pPr>
        <w:pStyle w:val="Style26"/>
        <w:widowControl/>
        <w:tabs>
          <w:tab w:val="left" w:pos="274"/>
        </w:tabs>
        <w:spacing w:before="36" w:line="194" w:lineRule="exact"/>
        <w:ind w:left="274" w:hanging="274"/>
        <w:jc w:val="left"/>
        <w:rPr>
          <w:rStyle w:val="FontStyle37"/>
        </w:rPr>
        <w:sectPr w:rsidR="00F0202B">
          <w:headerReference w:type="default" r:id="rId10"/>
          <w:footerReference w:type="default" r:id="rId11"/>
          <w:pgSz w:w="11905" w:h="16837"/>
          <w:pgMar w:top="1490" w:right="1354" w:bottom="1440" w:left="1354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5"/>
        <w:gridCol w:w="6966"/>
      </w:tblGrid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ind w:right="306" w:firstLine="4"/>
              <w:rPr>
                <w:rStyle w:val="FontStyle36"/>
              </w:rPr>
            </w:pPr>
            <w:r>
              <w:rPr>
                <w:rStyle w:val="FontStyle36"/>
              </w:rPr>
              <w:lastRenderedPageBreak/>
              <w:t>Uveďte, ktorý z článkov 13 až 45 sa uplatňuje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 zoznam článkov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Pomoc na nápravu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Druh prírodnej katastrofy: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škody spôsobenej</w:t>
            </w: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 zemetrasenie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prírodnými</w:t>
            </w: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katastrofami</w:t>
            </w: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 lavína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(článok 44)</w:t>
            </w: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 zosuv pôdy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 povodeň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 tornádo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 hurikán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 sopečná erupcia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2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 plošný požiar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Dátum prírodnej katastrofy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17"/>
              <w:widowControl/>
            </w:pPr>
          </w:p>
        </w:tc>
        <w:tc>
          <w:tcPr>
            <w:tcW w:w="69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0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dd/mm/rrrr - dd/mm/rrrr</w:t>
            </w:r>
          </w:p>
        </w:tc>
      </w:tr>
      <w:tr w:rsidR="00F0202B">
        <w:tblPrEx>
          <w:tblCellMar>
            <w:top w:w="0" w:type="dxa"/>
            <w:bottom w:w="0" w:type="dxa"/>
          </w:tblCellMar>
        </w:tblPrEx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40" w:lineRule="auto"/>
              <w:rPr>
                <w:rStyle w:val="FontStyle36"/>
              </w:rPr>
            </w:pPr>
            <w:r>
              <w:rPr>
                <w:rStyle w:val="FontStyle36"/>
              </w:rPr>
              <w:t>Dôvod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B" w:rsidRDefault="00F0202B">
            <w:pPr>
              <w:pStyle w:val="Style25"/>
              <w:widowControl/>
              <w:spacing w:line="216" w:lineRule="exact"/>
              <w:ind w:right="122" w:firstLine="11"/>
              <w:rPr>
                <w:rStyle w:val="FontStyle36"/>
              </w:rPr>
            </w:pPr>
            <w:r>
              <w:rPr>
                <w:rStyle w:val="FontStyle36"/>
              </w:rPr>
              <w:t>Uveďte, prečo bola zavedená schéma štátnej pomoci alebo prečo bola udelená pomoc ad hoc, a nie podpora z Európskeho námorného a rybárskeho fondu:</w:t>
            </w:r>
          </w:p>
          <w:p w:rsidR="00F0202B" w:rsidRDefault="00F0202B">
            <w:pPr>
              <w:pStyle w:val="Style12"/>
              <w:widowControl/>
              <w:tabs>
                <w:tab w:val="left" w:pos="277"/>
              </w:tabs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</w:t>
            </w:r>
            <w:r>
              <w:rPr>
                <w:rStyle w:val="FontStyle39"/>
              </w:rPr>
              <w:tab/>
              <w:t>opatrenie nespadá do rozsahu pôsobnosti národného operačného programu;</w:t>
            </w:r>
          </w:p>
          <w:p w:rsidR="00F0202B" w:rsidRDefault="00F0202B">
            <w:pPr>
              <w:pStyle w:val="Style12"/>
              <w:widowControl/>
              <w:tabs>
                <w:tab w:val="left" w:pos="281"/>
              </w:tabs>
              <w:ind w:left="4" w:hanging="4"/>
              <w:rPr>
                <w:rStyle w:val="FontStyle39"/>
              </w:rPr>
            </w:pPr>
            <w:r>
              <w:rPr>
                <w:rStyle w:val="FontStyle39"/>
              </w:rPr>
              <w:t>□</w:t>
            </w:r>
            <w:r>
              <w:rPr>
                <w:rStyle w:val="FontStyle39"/>
              </w:rPr>
              <w:tab/>
              <w:t>prioritizácia pri prideľovaní finančných prostriedkov v rámci národného operačného programu;</w:t>
            </w:r>
          </w:p>
          <w:p w:rsidR="00F0202B" w:rsidRDefault="00F0202B">
            <w:pPr>
              <w:pStyle w:val="Style12"/>
              <w:widowControl/>
              <w:tabs>
                <w:tab w:val="left" w:pos="281"/>
              </w:tabs>
              <w:ind w:left="4" w:hanging="4"/>
              <w:rPr>
                <w:rStyle w:val="FontStyle39"/>
              </w:rPr>
            </w:pPr>
            <w:r>
              <w:rPr>
                <w:rStyle w:val="FontStyle39"/>
              </w:rPr>
              <w:t>□</w:t>
            </w:r>
            <w:r>
              <w:rPr>
                <w:rStyle w:val="FontStyle39"/>
              </w:rPr>
              <w:tab/>
              <w:t>financovanie z Európskeho fondu pre rybné hospodárstvo už nie je k dispozícii;;</w:t>
            </w:r>
          </w:p>
          <w:p w:rsidR="00F0202B" w:rsidRDefault="00F0202B">
            <w:pPr>
              <w:pStyle w:val="Style12"/>
              <w:widowControl/>
              <w:tabs>
                <w:tab w:val="left" w:pos="277"/>
              </w:tabs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□</w:t>
            </w:r>
            <w:r>
              <w:rPr>
                <w:rStyle w:val="FontStyle39"/>
              </w:rPr>
              <w:tab/>
              <w:t>iný dôvod (uveďte)</w:t>
            </w:r>
          </w:p>
        </w:tc>
      </w:tr>
    </w:tbl>
    <w:p w:rsidR="00F0202B" w:rsidRDefault="00F0202B">
      <w:pPr>
        <w:pStyle w:val="Style8"/>
        <w:widowControl/>
        <w:tabs>
          <w:tab w:val="left" w:pos="216"/>
        </w:tabs>
        <w:spacing w:line="178" w:lineRule="exact"/>
        <w:ind w:firstLine="0"/>
        <w:rPr>
          <w:rStyle w:val="FontStyle43"/>
        </w:rPr>
      </w:pPr>
    </w:p>
    <w:sectPr w:rsidR="00F0202B">
      <w:headerReference w:type="default" r:id="rId12"/>
      <w:footerReference w:type="default" r:id="rId13"/>
      <w:pgSz w:w="11905" w:h="16837"/>
      <w:pgMar w:top="1622" w:right="1349" w:bottom="878" w:left="134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2B" w:rsidRDefault="00F0202B">
      <w:r>
        <w:separator/>
      </w:r>
    </w:p>
  </w:endnote>
  <w:endnote w:type="continuationSeparator" w:id="0">
    <w:p w:rsidR="00F0202B" w:rsidRDefault="00F0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B" w:rsidRDefault="00F0202B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B" w:rsidRDefault="00F0202B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B" w:rsidRDefault="00F0202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2B" w:rsidRDefault="00F0202B">
      <w:r>
        <w:separator/>
      </w:r>
    </w:p>
  </w:footnote>
  <w:footnote w:type="continuationSeparator" w:id="0">
    <w:p w:rsidR="00F0202B" w:rsidRDefault="00F0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B" w:rsidRDefault="009D007D">
    <w:pPr>
      <w:pStyle w:val="Style9"/>
      <w:framePr w:h="187" w:hRule="exact" w:hSpace="40" w:wrap="auto" w:vAnchor="text" w:hAnchor="text" w:x="8738" w:y="26"/>
      <w:widowControl/>
      <w:spacing w:line="240" w:lineRule="auto"/>
      <w:jc w:val="right"/>
      <w:rPr>
        <w:rStyle w:val="FontStyle42"/>
      </w:rPr>
    </w:pPr>
    <w:r>
      <w:rPr>
        <w:rStyle w:val="FontStyle42"/>
      </w:rPr>
      <w:t>24</w:t>
    </w:r>
    <w:r w:rsidR="00F0202B">
      <w:rPr>
        <w:rStyle w:val="FontStyle42"/>
      </w:rPr>
      <w:t>.12.2014</w:t>
    </w:r>
  </w:p>
  <w:p w:rsidR="00F0202B" w:rsidRDefault="00F0202B">
    <w:pPr>
      <w:pStyle w:val="Style9"/>
      <w:framePr w:h="194" w:hRule="exact" w:hSpace="40" w:wrap="auto" w:vAnchor="text" w:hAnchor="text" w:x="-521" w:y="26"/>
      <w:widowControl/>
      <w:spacing w:line="240" w:lineRule="auto"/>
      <w:rPr>
        <w:rStyle w:val="FontStyle42"/>
      </w:rPr>
    </w:pPr>
    <w:r>
      <w:rPr>
        <w:rStyle w:val="FontStyle42"/>
      </w:rPr>
      <w:t>L 369/60</w:t>
    </w:r>
    <w:r w:rsidR="009D007D">
      <w:rPr>
        <w:rStyle w:val="FontStyle42"/>
      </w:rPr>
      <w:t xml:space="preserve">    </w:t>
    </w:r>
  </w:p>
  <w:p w:rsidR="00F0202B" w:rsidRDefault="00F0202B">
    <w:pPr>
      <w:pStyle w:val="Style9"/>
      <w:widowControl/>
      <w:spacing w:line="240" w:lineRule="auto"/>
      <w:ind w:left="3114"/>
      <w:rPr>
        <w:rStyle w:val="FontStyle42"/>
      </w:rPr>
    </w:pPr>
    <w:r>
      <w:rPr>
        <w:rStyle w:val="FontStyle42"/>
      </w:rPr>
      <w:t>Úradný vestník Európskej únie</w:t>
    </w:r>
  </w:p>
  <w:p w:rsidR="009D007D" w:rsidRDefault="009D00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B" w:rsidRDefault="00F0202B">
    <w:pPr>
      <w:pStyle w:val="Style9"/>
      <w:framePr w:h="187" w:hRule="exact" w:hSpace="40" w:wrap="auto" w:vAnchor="text" w:hAnchor="text" w:x="-507" w:y="26"/>
      <w:widowControl/>
      <w:spacing w:line="240" w:lineRule="auto"/>
      <w:rPr>
        <w:rStyle w:val="FontStyle42"/>
      </w:rPr>
    </w:pPr>
    <w:r>
      <w:rPr>
        <w:rStyle w:val="FontStyle42"/>
      </w:rPr>
      <w:t>24.12.2014</w:t>
    </w:r>
  </w:p>
  <w:p w:rsidR="00F0202B" w:rsidRDefault="009D007D">
    <w:pPr>
      <w:pStyle w:val="Style9"/>
      <w:framePr w:h="194" w:hRule="exact" w:hSpace="40" w:wrap="auto" w:vAnchor="text" w:hAnchor="text" w:x="8933" w:y="26"/>
      <w:widowControl/>
      <w:spacing w:line="240" w:lineRule="auto"/>
      <w:jc w:val="right"/>
      <w:rPr>
        <w:rStyle w:val="FontStyle42"/>
      </w:rPr>
    </w:pPr>
    <w:r>
      <w:rPr>
        <w:rStyle w:val="FontStyle42"/>
      </w:rPr>
      <w:t>L</w:t>
    </w:r>
    <w:r w:rsidR="00F0202B">
      <w:rPr>
        <w:rStyle w:val="FontStyle42"/>
      </w:rPr>
      <w:t xml:space="preserve"> 369/61</w:t>
    </w:r>
  </w:p>
  <w:p w:rsidR="00F0202B" w:rsidRDefault="00F0202B">
    <w:pPr>
      <w:pStyle w:val="Style9"/>
      <w:widowControl/>
      <w:spacing w:line="240" w:lineRule="auto"/>
      <w:ind w:left="2887"/>
      <w:rPr>
        <w:rStyle w:val="FontStyle42"/>
      </w:rPr>
    </w:pPr>
    <w:r>
      <w:rPr>
        <w:rStyle w:val="FontStyle42"/>
      </w:rPr>
      <w:t>Úradný vestník Európskej únie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2B" w:rsidRDefault="00F0202B">
    <w:pPr>
      <w:pStyle w:val="Style9"/>
      <w:framePr w:h="187" w:hRule="exact" w:hSpace="38" w:wrap="auto" w:vAnchor="text" w:hAnchor="text" w:x="-503" w:y="15"/>
      <w:widowControl/>
      <w:spacing w:line="240" w:lineRule="auto"/>
      <w:rPr>
        <w:rStyle w:val="FontStyle42"/>
      </w:rPr>
    </w:pPr>
    <w:r>
      <w:rPr>
        <w:rStyle w:val="FontStyle42"/>
      </w:rPr>
      <w:t>24.12.2014</w:t>
    </w:r>
  </w:p>
  <w:p w:rsidR="00F0202B" w:rsidRDefault="00F0202B">
    <w:pPr>
      <w:pStyle w:val="Style9"/>
      <w:framePr w:h="192" w:hRule="exact" w:hSpace="38" w:wrap="auto" w:vAnchor="text" w:hAnchor="text" w:x="8939" w:y="20"/>
      <w:widowControl/>
      <w:spacing w:line="240" w:lineRule="auto"/>
      <w:jc w:val="right"/>
      <w:rPr>
        <w:rStyle w:val="FontStyle42"/>
      </w:rPr>
    </w:pPr>
    <w:r>
      <w:rPr>
        <w:rStyle w:val="FontStyle42"/>
      </w:rPr>
      <w:fldChar w:fldCharType="begin"/>
    </w:r>
    <w:r>
      <w:rPr>
        <w:rStyle w:val="FontStyle42"/>
      </w:rPr>
      <w:instrText>PAGE</w:instrText>
    </w:r>
    <w:r>
      <w:rPr>
        <w:rStyle w:val="FontStyle42"/>
      </w:rPr>
      <w:fldChar w:fldCharType="separate"/>
    </w:r>
    <w:r w:rsidR="00171187">
      <w:rPr>
        <w:rStyle w:val="FontStyle42"/>
        <w:noProof/>
      </w:rPr>
      <w:t>3</w:t>
    </w:r>
    <w:r>
      <w:rPr>
        <w:rStyle w:val="FontStyle42"/>
      </w:rPr>
      <w:fldChar w:fldCharType="end"/>
    </w:r>
    <w:r>
      <w:rPr>
        <w:rStyle w:val="FontStyle42"/>
      </w:rPr>
      <w:t xml:space="preserve"> 369/63</w:t>
    </w:r>
  </w:p>
  <w:p w:rsidR="00F0202B" w:rsidRDefault="00F0202B">
    <w:pPr>
      <w:pStyle w:val="Style9"/>
      <w:widowControl/>
      <w:spacing w:line="240" w:lineRule="auto"/>
      <w:ind w:left="2885"/>
      <w:rPr>
        <w:rStyle w:val="FontStyle42"/>
      </w:rPr>
    </w:pPr>
    <w:r>
      <w:rPr>
        <w:rStyle w:val="FontStyle42"/>
      </w:rPr>
      <w:t>Úradný vestník Európskej únie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7D"/>
    <w:rsid w:val="00171187"/>
    <w:rsid w:val="009D007D"/>
    <w:rsid w:val="00F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EA28CC-F582-428C-9CA9-AC784E3E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Book Antiqua"/>
      <w:sz w:val="24"/>
      <w:szCs w:val="24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jc w:val="both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336" w:lineRule="exact"/>
      <w:jc w:val="center"/>
    </w:pPr>
  </w:style>
  <w:style w:type="paragraph" w:customStyle="1" w:styleId="Style5">
    <w:name w:val="Style5"/>
    <w:basedOn w:val="Normlny"/>
    <w:uiPriority w:val="99"/>
    <w:pPr>
      <w:spacing w:line="211" w:lineRule="exact"/>
      <w:jc w:val="both"/>
    </w:pPr>
  </w:style>
  <w:style w:type="paragraph" w:customStyle="1" w:styleId="Style6">
    <w:name w:val="Style6"/>
    <w:basedOn w:val="Normlny"/>
    <w:uiPriority w:val="99"/>
    <w:pPr>
      <w:spacing w:line="211" w:lineRule="exact"/>
      <w:ind w:hanging="523"/>
      <w:jc w:val="both"/>
    </w:pPr>
  </w:style>
  <w:style w:type="paragraph" w:customStyle="1" w:styleId="Style7">
    <w:name w:val="Style7"/>
    <w:basedOn w:val="Normlny"/>
    <w:uiPriority w:val="99"/>
    <w:pPr>
      <w:jc w:val="center"/>
    </w:pPr>
  </w:style>
  <w:style w:type="paragraph" w:customStyle="1" w:styleId="Style8">
    <w:name w:val="Style8"/>
    <w:basedOn w:val="Normlny"/>
    <w:uiPriority w:val="99"/>
    <w:pPr>
      <w:spacing w:line="187" w:lineRule="exact"/>
      <w:ind w:hanging="221"/>
    </w:pPr>
  </w:style>
  <w:style w:type="paragraph" w:customStyle="1" w:styleId="Style9">
    <w:name w:val="Style9"/>
    <w:basedOn w:val="Normlny"/>
    <w:uiPriority w:val="99"/>
    <w:pPr>
      <w:spacing w:line="214" w:lineRule="exact"/>
      <w:jc w:val="both"/>
    </w:pPr>
  </w:style>
  <w:style w:type="paragraph" w:customStyle="1" w:styleId="Style10">
    <w:name w:val="Style10"/>
    <w:basedOn w:val="Normlny"/>
    <w:uiPriority w:val="99"/>
  </w:style>
  <w:style w:type="paragraph" w:customStyle="1" w:styleId="Style11">
    <w:name w:val="Style11"/>
    <w:basedOn w:val="Normlny"/>
    <w:uiPriority w:val="99"/>
  </w:style>
  <w:style w:type="paragraph" w:customStyle="1" w:styleId="Style12">
    <w:name w:val="Style12"/>
    <w:basedOn w:val="Normlny"/>
    <w:uiPriority w:val="99"/>
    <w:pPr>
      <w:spacing w:line="220" w:lineRule="exact"/>
    </w:pPr>
  </w:style>
  <w:style w:type="paragraph" w:customStyle="1" w:styleId="Style13">
    <w:name w:val="Style13"/>
    <w:basedOn w:val="Normlny"/>
    <w:uiPriority w:val="99"/>
    <w:pPr>
      <w:spacing w:line="211" w:lineRule="exact"/>
      <w:ind w:hanging="250"/>
      <w:jc w:val="both"/>
    </w:pPr>
  </w:style>
  <w:style w:type="paragraph" w:customStyle="1" w:styleId="Style14">
    <w:name w:val="Style14"/>
    <w:basedOn w:val="Normlny"/>
    <w:uiPriority w:val="99"/>
  </w:style>
  <w:style w:type="paragraph" w:customStyle="1" w:styleId="Style15">
    <w:name w:val="Style15"/>
    <w:basedOn w:val="Normlny"/>
    <w:uiPriority w:val="99"/>
    <w:pPr>
      <w:spacing w:line="187" w:lineRule="exact"/>
      <w:ind w:hanging="221"/>
      <w:jc w:val="both"/>
    </w:pPr>
  </w:style>
  <w:style w:type="paragraph" w:customStyle="1" w:styleId="Style16">
    <w:name w:val="Style16"/>
    <w:basedOn w:val="Normlny"/>
    <w:uiPriority w:val="99"/>
    <w:pPr>
      <w:spacing w:line="516" w:lineRule="exact"/>
      <w:jc w:val="center"/>
    </w:pPr>
  </w:style>
  <w:style w:type="paragraph" w:customStyle="1" w:styleId="Style17">
    <w:name w:val="Style17"/>
    <w:basedOn w:val="Normlny"/>
    <w:uiPriority w:val="99"/>
  </w:style>
  <w:style w:type="paragraph" w:customStyle="1" w:styleId="Style18">
    <w:name w:val="Style18"/>
    <w:basedOn w:val="Normlny"/>
    <w:uiPriority w:val="99"/>
    <w:pPr>
      <w:spacing w:line="464" w:lineRule="exact"/>
      <w:jc w:val="center"/>
    </w:pPr>
  </w:style>
  <w:style w:type="paragraph" w:customStyle="1" w:styleId="Style19">
    <w:name w:val="Style19"/>
    <w:basedOn w:val="Normlny"/>
    <w:uiPriority w:val="99"/>
  </w:style>
  <w:style w:type="paragraph" w:customStyle="1" w:styleId="Style20">
    <w:name w:val="Style20"/>
    <w:basedOn w:val="Normlny"/>
    <w:uiPriority w:val="99"/>
  </w:style>
  <w:style w:type="paragraph" w:customStyle="1" w:styleId="Style21">
    <w:name w:val="Style21"/>
    <w:basedOn w:val="Normlny"/>
    <w:uiPriority w:val="99"/>
    <w:pPr>
      <w:spacing w:line="211" w:lineRule="exact"/>
      <w:ind w:hanging="3490"/>
    </w:pPr>
  </w:style>
  <w:style w:type="paragraph" w:customStyle="1" w:styleId="Style22">
    <w:name w:val="Style22"/>
    <w:basedOn w:val="Normlny"/>
    <w:uiPriority w:val="99"/>
    <w:pPr>
      <w:jc w:val="center"/>
    </w:pPr>
  </w:style>
  <w:style w:type="paragraph" w:customStyle="1" w:styleId="Style23">
    <w:name w:val="Style23"/>
    <w:basedOn w:val="Normlny"/>
    <w:uiPriority w:val="99"/>
    <w:pPr>
      <w:spacing w:line="211" w:lineRule="exact"/>
      <w:ind w:hanging="245"/>
      <w:jc w:val="both"/>
    </w:pPr>
  </w:style>
  <w:style w:type="paragraph" w:customStyle="1" w:styleId="Style24">
    <w:name w:val="Style24"/>
    <w:basedOn w:val="Normlny"/>
    <w:uiPriority w:val="99"/>
    <w:pPr>
      <w:spacing w:line="211" w:lineRule="exact"/>
      <w:jc w:val="both"/>
    </w:pPr>
  </w:style>
  <w:style w:type="paragraph" w:customStyle="1" w:styleId="Style25">
    <w:name w:val="Style25"/>
    <w:basedOn w:val="Normlny"/>
    <w:uiPriority w:val="99"/>
    <w:pPr>
      <w:spacing w:line="220" w:lineRule="exact"/>
    </w:pPr>
  </w:style>
  <w:style w:type="paragraph" w:customStyle="1" w:styleId="Style26">
    <w:name w:val="Style26"/>
    <w:basedOn w:val="Normlny"/>
    <w:uiPriority w:val="99"/>
    <w:pPr>
      <w:spacing w:line="196" w:lineRule="exact"/>
      <w:ind w:hanging="266"/>
      <w:jc w:val="both"/>
    </w:pPr>
  </w:style>
  <w:style w:type="paragraph" w:customStyle="1" w:styleId="Style27">
    <w:name w:val="Style27"/>
    <w:basedOn w:val="Normlny"/>
    <w:uiPriority w:val="99"/>
    <w:pPr>
      <w:spacing w:line="566" w:lineRule="exact"/>
      <w:ind w:firstLine="840"/>
    </w:pPr>
  </w:style>
  <w:style w:type="paragraph" w:customStyle="1" w:styleId="Style28">
    <w:name w:val="Style28"/>
    <w:basedOn w:val="Normlny"/>
    <w:uiPriority w:val="99"/>
    <w:pPr>
      <w:spacing w:line="211" w:lineRule="exact"/>
      <w:ind w:hanging="336"/>
      <w:jc w:val="both"/>
    </w:pPr>
  </w:style>
  <w:style w:type="paragraph" w:customStyle="1" w:styleId="Style29">
    <w:name w:val="Style29"/>
    <w:basedOn w:val="Normlny"/>
    <w:uiPriority w:val="99"/>
    <w:pPr>
      <w:spacing w:line="475" w:lineRule="exact"/>
      <w:jc w:val="center"/>
    </w:pPr>
  </w:style>
  <w:style w:type="character" w:customStyle="1" w:styleId="FontStyle31">
    <w:name w:val="Font Style31"/>
    <w:basedOn w:val="Predvolenpsmoodseku"/>
    <w:uiPriority w:val="99"/>
    <w:rPr>
      <w:rFonts w:ascii="Book Antiqua" w:hAnsi="Book Antiqua" w:cs="Book Antiqua"/>
      <w:color w:val="000000"/>
      <w:sz w:val="20"/>
      <w:szCs w:val="20"/>
    </w:rPr>
  </w:style>
  <w:style w:type="character" w:customStyle="1" w:styleId="FontStyle32">
    <w:name w:val="Font Style32"/>
    <w:basedOn w:val="Predvolenpsmoodseku"/>
    <w:uiPriority w:val="99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character" w:customStyle="1" w:styleId="FontStyle33">
    <w:name w:val="Font Style33"/>
    <w:basedOn w:val="Predvolenpsmoodseku"/>
    <w:uiPriority w:val="99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34">
    <w:name w:val="Font Style34"/>
    <w:basedOn w:val="Predvolenpsmoodseku"/>
    <w:uiPriority w:val="99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35">
    <w:name w:val="Font Style35"/>
    <w:basedOn w:val="Predvolenpsmoodseku"/>
    <w:uiPriority w:val="9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6">
    <w:name w:val="Font Style36"/>
    <w:basedOn w:val="Predvolenpsmoodseku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7">
    <w:name w:val="Font Style37"/>
    <w:basedOn w:val="Predvolenpsmoodseku"/>
    <w:uiPriority w:val="99"/>
    <w:rPr>
      <w:rFonts w:ascii="Arial" w:hAnsi="Arial" w:cs="Arial"/>
      <w:color w:val="000000"/>
      <w:sz w:val="16"/>
      <w:szCs w:val="16"/>
    </w:rPr>
  </w:style>
  <w:style w:type="character" w:customStyle="1" w:styleId="FontStyle38">
    <w:name w:val="Font Style38"/>
    <w:basedOn w:val="Predvolenpsmoodseku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39">
    <w:name w:val="Font Style39"/>
    <w:basedOn w:val="Predvolenpsmoodseku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40">
    <w:name w:val="Font Style40"/>
    <w:basedOn w:val="Predvolenpsmoodseku"/>
    <w:uiPriority w:val="99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41">
    <w:name w:val="Font Style41"/>
    <w:basedOn w:val="Predvolenpsmoodseku"/>
    <w:uiPriority w:val="99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42">
    <w:name w:val="Font Style42"/>
    <w:basedOn w:val="Predvolenpsmoodseku"/>
    <w:uiPriority w:val="99"/>
    <w:rPr>
      <w:rFonts w:ascii="Book Antiqua" w:hAnsi="Book Antiqua" w:cs="Book Antiqua"/>
      <w:color w:val="000000"/>
      <w:sz w:val="16"/>
      <w:szCs w:val="16"/>
    </w:rPr>
  </w:style>
  <w:style w:type="character" w:customStyle="1" w:styleId="FontStyle43">
    <w:name w:val="Font Style43"/>
    <w:basedOn w:val="Predvolenpsmoodseku"/>
    <w:uiPriority w:val="99"/>
    <w:rPr>
      <w:rFonts w:ascii="Book Antiqua" w:hAnsi="Book Antiqua" w:cs="Book Antiqua"/>
      <w:color w:val="000000"/>
      <w:sz w:val="14"/>
      <w:szCs w:val="14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00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D007D"/>
    <w:rPr>
      <w:rFonts w:hAnsi="Book Antiqua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00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D007D"/>
    <w:rPr>
      <w:rFonts w:hAnsi="Book Antiqua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007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D007D"/>
    <w:rPr>
      <w:rFonts w:hAnsi="Book Antiqua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00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FAED-8711-4339-B832-DDAA6379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NARIADENIE  KOMISIE  (EÚ)  č.  1388/  2014  -  zo 16.  decembra  2014,  -  o vyhlásení  určitých  kategórií  pomoci  poskytovanej  podnikom  pôsobiacim  vo výrobe,  spracovaní  a odbyte  produktov  rybolovu  a akvakultúry  za  zlučiteľné  s vnútorným  trh</vt:lpstr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NARIADENIE  KOMISIE  (EÚ)  č.  1388/  2014  -  zo 16.  decembra  2014,  -  o vyhlásení  určitých  kategórií  pomoci  poskytovanej  podnikom  pôsobiacim  vo výrobe,  spracovaní  a odbyte  produktov  rybolovu  a akvakultúry  za  zlučiteľné  s vnútorným  trh</dc:title>
  <dc:subject/>
  <dc:creator>Publications Office</dc:creator>
  <cp:keywords/>
  <dc:description/>
  <cp:lastModifiedBy>Richard Gazda</cp:lastModifiedBy>
  <cp:revision>2</cp:revision>
  <dcterms:created xsi:type="dcterms:W3CDTF">2016-04-12T07:54:00Z</dcterms:created>
  <dcterms:modified xsi:type="dcterms:W3CDTF">2016-04-12T07:54:00Z</dcterms:modified>
</cp:coreProperties>
</file>