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050EB" w:rsidRPr="002050EB" w:rsidTr="00A31A81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2050EB" w:rsidRPr="002050EB" w:rsidRDefault="002050EB" w:rsidP="002703BD">
            <w:pPr>
              <w:keepNext/>
              <w:numPr>
                <w:ilvl w:val="1"/>
                <w:numId w:val="0"/>
              </w:numPr>
              <w:tabs>
                <w:tab w:val="num" w:pos="850"/>
              </w:tabs>
              <w:spacing w:before="240" w:after="240" w:line="240" w:lineRule="auto"/>
              <w:ind w:left="850" w:hanging="85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</w:pPr>
            <w:bookmarkStart w:id="0" w:name="_Toc414370366"/>
            <w:bookmarkStart w:id="1" w:name="_Toc416949018"/>
            <w:bookmarkStart w:id="2" w:name="_GoBack"/>
            <w:bookmarkEnd w:id="2"/>
            <w:r w:rsidRPr="002050EB">
              <w:rPr>
                <w:rFonts w:ascii="Times New Roman" w:eastAsia="Times New Roman" w:hAnsi="Times New Roman"/>
                <w:b/>
                <w:bCs/>
                <w:sz w:val="24"/>
                <w:szCs w:val="26"/>
                <w:lang w:val="sk-SK"/>
              </w:rPr>
              <w:t>Časť III.13.A – Formulár doplňujúcich informácií o investičnej pomoci letiskám</w:t>
            </w:r>
            <w:bookmarkEnd w:id="0"/>
            <w:bookmarkEnd w:id="1"/>
          </w:p>
        </w:tc>
      </w:tr>
    </w:tbl>
    <w:p w:rsidR="002050EB" w:rsidRPr="002050EB" w:rsidRDefault="002050EB" w:rsidP="002050EB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lang w:val="sk-SK"/>
        </w:rPr>
      </w:pPr>
    </w:p>
    <w:p w:rsidR="002050EB" w:rsidRPr="002050EB" w:rsidRDefault="002050EB" w:rsidP="002050EB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>Odporúča sa, aby sa tento formulár doplňujúcich informácií vyplnil navyše k formuláru „Všeobecné informácie“ na oznámenie každej schémy investičnej pomoci, na ktorú sa vzťahujú Usmernenia o štátnej pomoci pre letiská a letecké spoločnosti</w:t>
      </w:r>
      <w:r w:rsidRPr="002050EB">
        <w:rPr>
          <w:rFonts w:ascii="Times New Roman" w:hAnsi="Times New Roman"/>
          <w:sz w:val="24"/>
          <w:vertAlign w:val="superscript"/>
          <w:lang w:val="sk-SK"/>
        </w:rPr>
        <w:footnoteReference w:id="1"/>
      </w:r>
      <w:r w:rsidRPr="002050EB">
        <w:rPr>
          <w:rFonts w:ascii="Times New Roman" w:hAnsi="Times New Roman"/>
          <w:sz w:val="24"/>
          <w:lang w:val="sk-SK"/>
        </w:rPr>
        <w:t>.</w:t>
      </w:r>
    </w:p>
    <w:p w:rsidR="002050EB" w:rsidRPr="002050EB" w:rsidRDefault="002050EB" w:rsidP="002050EB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9"/>
      </w:tblGrid>
      <w:tr w:rsidR="002050EB" w:rsidRPr="002050EB" w:rsidTr="00A31A81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2050EB" w:rsidRPr="002050EB" w:rsidRDefault="002050EB" w:rsidP="002050EB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2050EB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Dodatočné informácie o príjemcovi, investičnom projekte a pomoci</w:t>
            </w:r>
          </w:p>
        </w:tc>
      </w:tr>
    </w:tbl>
    <w:p w:rsidR="002050EB" w:rsidRPr="002050EB" w:rsidRDefault="002050EB" w:rsidP="002050EB">
      <w:pPr>
        <w:numPr>
          <w:ilvl w:val="1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Príjemca</w:t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Poskytuje sa pomoc priamo vlastníkovi letiska?</w:t>
      </w:r>
    </w:p>
    <w:p w:rsidR="002050EB" w:rsidRPr="002050EB" w:rsidRDefault="002050EB" w:rsidP="002050EB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/>
          <w:sz w:val="24"/>
          <w:lang w:val="sk-SK"/>
        </w:rPr>
      </w:r>
      <w:r w:rsidRPr="002050EB">
        <w:rPr>
          <w:rFonts w:ascii="Times New Roman" w:hAnsi="Times New Roman"/>
          <w:sz w:val="24"/>
          <w:lang w:val="sk-SK"/>
        </w:rPr>
        <w:fldChar w:fldCharType="separate"/>
      </w:r>
      <w:r w:rsidRPr="002050EB">
        <w:rPr>
          <w:rFonts w:ascii="Times New Roman" w:hAnsi="Times New Roman"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 xml:space="preserve">áno </w:t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  <w:t xml:space="preserve"> </w:t>
      </w:r>
      <w:r w:rsidRPr="002050EB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/>
          <w:sz w:val="24"/>
          <w:lang w:val="sk-SK"/>
        </w:rPr>
      </w:r>
      <w:r w:rsidRPr="002050EB">
        <w:rPr>
          <w:rFonts w:ascii="Times New Roman" w:hAnsi="Times New Roman"/>
          <w:sz w:val="24"/>
          <w:lang w:val="sk-SK"/>
        </w:rPr>
        <w:fldChar w:fldCharType="separate"/>
      </w:r>
      <w:r w:rsidRPr="002050EB">
        <w:rPr>
          <w:rFonts w:ascii="Times New Roman" w:hAnsi="Times New Roman"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>nie</w:t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Ak je odpoveď na otázku v bode 1.1.1 nie, opíšte podľa potreby i) právny subjekt (subjekty), ktorý(-é) i) je/sú príjemcom(-ami) pomoci, a ii) právny subjekt (subjekty) presúvajúcu(-ce) pomoc na sprostredkovateľský subjekt alebo na letisko vykonávajúce investičný projekt.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Arial Unicode MS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Ak je odpoveď na otázku v bode 1.1.1 nie, vysvetlite, ako vnútroštátne orgány zabezpečujú, že na sprostredkovateľských úrovniach sa neposkytuje žiadna výhoda.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Arial Unicode MS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 xml:space="preserve">V prípade individuálnej pomoci opíšte právne, organizačné a finančné vzťahy medzi príjemcom pomoci a i) podnikmi, s ktorými tvorí súčasť skupiny podnikov,  ii) jeho dcérskymi spoločnosťami; iii) akýmikoľvek inými pridruženými podnikmi vrátane spoločných podnikov. 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ab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  <w:t>V prípade schém pomoci opíšte spôsob, akým orgán poskytujúci pomoc posúdi právne, organizačné a finančné vzťahy uvedené vyššie.</w:t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Uveďte, či príjemca bude prevádzkovať aj infraštruktúru.</w:t>
      </w:r>
    </w:p>
    <w:p w:rsidR="002050EB" w:rsidRPr="002050EB" w:rsidRDefault="002050EB" w:rsidP="002050EB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/>
          <w:sz w:val="24"/>
          <w:lang w:val="sk-SK"/>
        </w:rPr>
      </w:r>
      <w:r w:rsidRPr="002050EB">
        <w:rPr>
          <w:rFonts w:ascii="Times New Roman" w:hAnsi="Times New Roman"/>
          <w:sz w:val="24"/>
          <w:lang w:val="sk-SK"/>
        </w:rPr>
        <w:fldChar w:fldCharType="separate"/>
      </w:r>
      <w:r w:rsidRPr="002050EB">
        <w:rPr>
          <w:rFonts w:ascii="Times New Roman" w:hAnsi="Times New Roman"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 xml:space="preserve">áno </w:t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  <w:t xml:space="preserve"> </w:t>
      </w:r>
      <w:r w:rsidRPr="002050EB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/>
          <w:sz w:val="24"/>
          <w:lang w:val="sk-SK"/>
        </w:rPr>
      </w:r>
      <w:r w:rsidRPr="002050EB">
        <w:rPr>
          <w:rFonts w:ascii="Times New Roman" w:hAnsi="Times New Roman"/>
          <w:sz w:val="24"/>
          <w:lang w:val="sk-SK"/>
        </w:rPr>
        <w:fldChar w:fldCharType="separate"/>
      </w:r>
      <w:r w:rsidRPr="002050EB">
        <w:rPr>
          <w:rFonts w:ascii="Times New Roman" w:hAnsi="Times New Roman"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>nie</w:t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Ak ste na uvedenú otázku odpovedali nie, opíšte i) postup, akým bude/resp. bol vybraný prevádzkovateľ infraštruktúry a ii) podmienky účasti.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lastRenderedPageBreak/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 w:cs="Arial Unicode MS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Ak letisko(-á) využívajú národné ozbrojené sily, polícia, letecké záchranné služby vykonávajúce činnosti nehospodárskej povahy alebo akékoľvek iné letecké služby vykonávajúce činnosti nehospodárskej povahy, uveďte a) povahu týchto služieb a b) mieru využitia kapacity letiska (napr. používanie vzletovej a pristávacej dráhy a ďalších zariadení letiska vyjadrené ako percento z ročného počtu letov):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CE105A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 xml:space="preserve">Uveďte tieto údaje o objeme cestujúcich na letisku(-ách), ktoré je/sú príjemcom(-ami) pomoci: 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ab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</w:r>
    </w:p>
    <w:p w:rsidR="00CE105A" w:rsidRDefault="002050EB" w:rsidP="00CE105A">
      <w:pPr>
        <w:numPr>
          <w:ilvl w:val="0"/>
          <w:numId w:val="7"/>
        </w:numPr>
        <w:spacing w:before="120" w:after="240" w:line="240" w:lineRule="auto"/>
        <w:ind w:hanging="668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Letiská s históriou komerčnej osobnej dopravy dlhšou ako dva finančné roky: Priemerný ročný objem cestujúcich počas dvoch finančných rokov predchádzajúcich roku, v ktorom sa pomoc notifik</w:t>
      </w:r>
      <w:r w:rsidR="00CE105A">
        <w:rPr>
          <w:rFonts w:ascii="Times New Roman" w:eastAsia="Times New Roman" w:hAnsi="Times New Roman"/>
          <w:sz w:val="24"/>
          <w:szCs w:val="20"/>
          <w:lang w:val="sk-SK"/>
        </w:rPr>
        <w:t xml:space="preserve">uje alebo skutočne poskytuje. </w:t>
      </w:r>
    </w:p>
    <w:p w:rsidR="00CE105A" w:rsidRDefault="002050EB" w:rsidP="00CE105A">
      <w:pPr>
        <w:numPr>
          <w:ilvl w:val="0"/>
          <w:numId w:val="7"/>
        </w:numPr>
        <w:spacing w:before="120" w:after="240" w:line="240" w:lineRule="auto"/>
        <w:ind w:hanging="668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Letiská s históriou komerčnej osobnej dopravy kratšou ako dva finančné roky: predpokladaný priemerný ročný objem cestujúcich počas dvoch finančných rokov od začiatku prevádzkovania komerčnej osobnej leteckej dopravy.</w:t>
      </w:r>
    </w:p>
    <w:p w:rsidR="002050EB" w:rsidRPr="002050EB" w:rsidRDefault="002050EB" w:rsidP="00CE105A">
      <w:pPr>
        <w:numPr>
          <w:ilvl w:val="0"/>
          <w:numId w:val="7"/>
        </w:numPr>
        <w:spacing w:before="120" w:after="240" w:line="240" w:lineRule="auto"/>
        <w:ind w:hanging="668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Pre všetky letiská predpokladaný priemerný ročný objem cestujúcich počas predpokladanej ekonomickej životnosti podporovanej infraštruktúry.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ab/>
      </w:r>
    </w:p>
    <w:p w:rsidR="002050EB" w:rsidRPr="002050EB" w:rsidRDefault="002050EB" w:rsidP="00CE105A">
      <w:pPr>
        <w:spacing w:before="120" w:after="240" w:line="240" w:lineRule="auto"/>
        <w:ind w:left="1224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 xml:space="preserve">Údaje za letisko poskytnite vo forme tabuľky štruktúrovanej ako je znázornené v nasledujúcej tabuľke. 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ab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</w:r>
    </w:p>
    <w:tbl>
      <w:tblPr>
        <w:tblW w:w="0" w:type="auto"/>
        <w:tblInd w:w="14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4"/>
        <w:gridCol w:w="3260"/>
      </w:tblGrid>
      <w:tr w:rsidR="002050EB" w:rsidRPr="002050EB" w:rsidTr="00A31A81">
        <w:tc>
          <w:tcPr>
            <w:tcW w:w="4394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b/>
                <w:sz w:val="24"/>
                <w:lang w:val="sk-SK"/>
              </w:rPr>
              <w:t>Rok</w:t>
            </w:r>
          </w:p>
        </w:tc>
        <w:tc>
          <w:tcPr>
            <w:tcW w:w="3260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b/>
                <w:sz w:val="24"/>
                <w:lang w:val="sk-SK"/>
              </w:rPr>
              <w:t>Celkový počet cestujúcich</w:t>
            </w:r>
          </w:p>
        </w:tc>
      </w:tr>
      <w:tr w:rsidR="002050EB" w:rsidRPr="002050EB" w:rsidTr="00A31A81">
        <w:tc>
          <w:tcPr>
            <w:tcW w:w="4394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2050EB" w:rsidRPr="002050EB" w:rsidTr="00A31A81">
        <w:tc>
          <w:tcPr>
            <w:tcW w:w="4394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3260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</w:tbl>
    <w:p w:rsidR="002050EB" w:rsidRPr="002050EB" w:rsidRDefault="002050EB" w:rsidP="002050EB">
      <w:pPr>
        <w:tabs>
          <w:tab w:val="left" w:pos="720"/>
          <w:tab w:val="left" w:pos="1077"/>
          <w:tab w:val="left" w:pos="1440"/>
          <w:tab w:val="left" w:pos="1797"/>
        </w:tabs>
        <w:spacing w:before="360" w:after="240" w:line="240" w:lineRule="auto"/>
        <w:ind w:left="1440"/>
        <w:jc w:val="both"/>
        <w:rPr>
          <w:rFonts w:ascii="Times New Roman" w:hAnsi="Times New Roman" w:cs="Arial Unicode MS"/>
          <w:b/>
          <w:color w:val="000000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>Počty cestujúcich sa musia počítať „jedným smerom“ a pre každú jednotlivú trasu; na príklad: cestujúci letiaci na letisko a naspäť by sa počítal dvakrát. Ak je letisko súčasťou skupiny letísk, údaje o objeme cestujúcich sa musia stanoviť na základe každého jednotlivého letiska.</w:t>
      </w:r>
    </w:p>
    <w:p w:rsidR="002050EB" w:rsidRPr="002050EB" w:rsidRDefault="002050EB" w:rsidP="002050EB">
      <w:pPr>
        <w:numPr>
          <w:ilvl w:val="1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Investičný projekt</w:t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 xml:space="preserve">Opíšte investičný projekt a všetky základné odhady a predložte vopred vypracovaný obchodný plán (v podobe tabuľky vytvorenej v exceli), z ktorého 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lastRenderedPageBreak/>
        <w:t>projekt vychádza. Obchodný plán by mal zahŕňať ekonomickú životnosť investície. Všetky odhady by mali vychádzať zo spoľahlivých prognóz dopytu. Uveďte či a do akej miery boli tieto odhady zohľadnené v obchodnom pláne letiska, ktoré je príjemcom pomoci. .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Uveďte tieto informácie o notifikovanom investičnom projekte:</w:t>
      </w:r>
    </w:p>
    <w:tbl>
      <w:tblPr>
        <w:tblW w:w="0" w:type="auto"/>
        <w:tblInd w:w="1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1"/>
        <w:gridCol w:w="2811"/>
      </w:tblGrid>
      <w:tr w:rsidR="002050EB" w:rsidRPr="002050EB" w:rsidTr="00A31A81">
        <w:tc>
          <w:tcPr>
            <w:tcW w:w="4821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>Dátum žiadosti o pomoc:</w:t>
            </w:r>
          </w:p>
        </w:tc>
        <w:tc>
          <w:tcPr>
            <w:tcW w:w="2811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2050EB" w:rsidRPr="002050EB" w:rsidTr="00A31A81">
        <w:tc>
          <w:tcPr>
            <w:tcW w:w="4821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>Dátum začatia prác na investičnom projekte:</w:t>
            </w:r>
          </w:p>
        </w:tc>
        <w:tc>
          <w:tcPr>
            <w:tcW w:w="2811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2050EB" w:rsidRPr="002050EB" w:rsidTr="00A31A81">
        <w:tc>
          <w:tcPr>
            <w:tcW w:w="4821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>Dátum plánovaného skončenia prác na investičnom projekte:</w:t>
            </w:r>
          </w:p>
        </w:tc>
        <w:tc>
          <w:tcPr>
            <w:tcW w:w="2811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2050EB" w:rsidRPr="002050EB" w:rsidTr="00A31A81">
        <w:tc>
          <w:tcPr>
            <w:tcW w:w="4821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>Dátum plánovaného začatia prevádzky investície:</w:t>
            </w:r>
          </w:p>
        </w:tc>
        <w:tc>
          <w:tcPr>
            <w:tcW w:w="2811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2050EB" w:rsidRPr="002050EB" w:rsidTr="00A31A81">
        <w:tc>
          <w:tcPr>
            <w:tcW w:w="4821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>Dátum plánovaného dosiahnutia plnej kapacity:</w:t>
            </w:r>
          </w:p>
        </w:tc>
        <w:tc>
          <w:tcPr>
            <w:tcW w:w="2811" w:type="dxa"/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</w:tbl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 rámci jednej tabuľky uveďte podrobný rozpis všetkých prác, ktoré sa majú vykonať, zdroj ich financovania, plánované trvanie, súvisiace nákladové položky a plánovaný dátum uvedenia do prevádzky.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ab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  <w:t>Pre každú nákladovú položku uveďte, či, a prečo by sa mala považovať za investičný náklad i) priamo spojený s infraštruktúrou nehospodárskej povahy patriacou do právomoci verejného poriadku (napr. bezpečnostné úlohy, riadenie letovej prevádzky a akékoľvek iné činnosti, za ktoré zodpovedá členský štát v rámci svojich úradných právomocí ako verejný orgán), alebo ii) spojený s leteckou letiskovou infraštruktúrou hospodárskej povahy (napr. vzletová a pristávacia dráha, infraštruktúru pozemnej obsluhy) alebo iii) spojený s </w:t>
      </w:r>
      <w:r w:rsidRPr="002050EB">
        <w:rPr>
          <w:rFonts w:ascii="Times New Roman" w:eastAsia="Times New Roman" w:hAnsi="Times New Roman"/>
          <w:b/>
          <w:sz w:val="24"/>
          <w:szCs w:val="20"/>
          <w:lang w:val="sk-SK"/>
        </w:rPr>
        <w:t>neleteckou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 xml:space="preserve"> infraštruktúrou hospodárskej povahy (napr. parkoviská, hotely).</w:t>
      </w:r>
    </w:p>
    <w:tbl>
      <w:tblPr>
        <w:tblW w:w="8095" w:type="dxa"/>
        <w:tblInd w:w="13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024"/>
        <w:gridCol w:w="2024"/>
        <w:gridCol w:w="2024"/>
      </w:tblGrid>
      <w:tr w:rsidR="002050EB" w:rsidRPr="002050EB" w:rsidTr="00A31A81">
        <w:trPr>
          <w:trHeight w:val="551"/>
        </w:trPr>
        <w:tc>
          <w:tcPr>
            <w:tcW w:w="2023" w:type="dxa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>Druh prác</w:t>
            </w:r>
          </w:p>
        </w:tc>
        <w:tc>
          <w:tcPr>
            <w:tcW w:w="2024" w:type="dxa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>Financovanie</w:t>
            </w:r>
          </w:p>
        </w:tc>
        <w:tc>
          <w:tcPr>
            <w:tcW w:w="2024" w:type="dxa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>Štruktúra nákladov</w:t>
            </w:r>
          </w:p>
        </w:tc>
        <w:tc>
          <w:tcPr>
            <w:tcW w:w="2024" w:type="dxa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>Načasovanie</w:t>
            </w:r>
          </w:p>
        </w:tc>
      </w:tr>
      <w:tr w:rsidR="002050EB" w:rsidRPr="002050EB" w:rsidTr="00A31A81">
        <w:trPr>
          <w:trHeight w:val="276"/>
        </w:trPr>
        <w:tc>
          <w:tcPr>
            <w:tcW w:w="2023" w:type="dxa"/>
            <w:hideMark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024" w:type="dxa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024" w:type="dxa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024" w:type="dxa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2050EB" w:rsidRPr="002050EB" w:rsidTr="00A31A81">
        <w:trPr>
          <w:trHeight w:val="287"/>
        </w:trPr>
        <w:tc>
          <w:tcPr>
            <w:tcW w:w="2023" w:type="dxa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024" w:type="dxa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024" w:type="dxa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024" w:type="dxa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</w:tbl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Uveďte prehľad i) celkových oprávnených investičných nákladov</w:t>
      </w:r>
      <w:r w:rsidRPr="002050EB">
        <w:rPr>
          <w:rFonts w:ascii="Times New Roman" w:eastAsia="Times New Roman" w:hAnsi="Times New Roman"/>
          <w:sz w:val="24"/>
          <w:szCs w:val="20"/>
          <w:vertAlign w:val="superscript"/>
          <w:lang w:val="sk-SK"/>
        </w:rPr>
        <w:footnoteReference w:id="2"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 xml:space="preserve"> hospodárskej povahy a ii) celkových oprávnených nákladov nehospodárskej 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lastRenderedPageBreak/>
        <w:t>povahy. Náklady sa musia diskontovať na ich súčasnú hodnotu; je potrebné uviesť diskontnú sadzbu.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ab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  <w:t>V prehľade uveďte, ktorá časť notifikovanej pomoci bude podporovať investície patriace do kategórie i) a ktorá časť bude podporovať investície patriace do kategórie ii).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>Ak budú prostredníctvom štátnej pomoci financované investičné náklady súvisiace s inými ako leteckými činnosťami hospodárskej povahy: vysvetlite, na základe čoho budú orgány považovať túto pomoc za zlučiteľnú s vnútorným trhom.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Zaviazali ste sa alebo sa zaväzujete, že v prípade danej investície uskutočníte posudzovanie vplyvov na životné prostredie? (bod 20 usmernení o štátnej pomoci pre letiská a letecké spoločnosti)?</w:t>
      </w:r>
    </w:p>
    <w:p w:rsidR="002050EB" w:rsidRPr="002050EB" w:rsidRDefault="002050EB" w:rsidP="002050EB">
      <w:pPr>
        <w:spacing w:before="100" w:beforeAutospacing="1" w:after="100" w:afterAutospacing="1" w:line="240" w:lineRule="auto"/>
        <w:ind w:left="504" w:firstLine="720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/>
          <w:sz w:val="24"/>
          <w:lang w:val="sk-SK"/>
        </w:rPr>
      </w:r>
      <w:r w:rsidRPr="002050EB">
        <w:rPr>
          <w:rFonts w:ascii="Times New Roman" w:hAnsi="Times New Roman"/>
          <w:sz w:val="24"/>
          <w:lang w:val="sk-SK"/>
        </w:rPr>
        <w:fldChar w:fldCharType="separate"/>
      </w:r>
      <w:r w:rsidRPr="002050EB">
        <w:rPr>
          <w:rFonts w:ascii="Times New Roman" w:hAnsi="Times New Roman"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 xml:space="preserve">áno </w:t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  <w:t xml:space="preserve"> </w:t>
      </w:r>
      <w:r w:rsidRPr="002050EB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/>
          <w:sz w:val="24"/>
          <w:lang w:val="sk-SK"/>
        </w:rPr>
      </w:r>
      <w:r w:rsidRPr="002050EB">
        <w:rPr>
          <w:rFonts w:ascii="Times New Roman" w:hAnsi="Times New Roman"/>
          <w:sz w:val="24"/>
          <w:lang w:val="sk-SK"/>
        </w:rPr>
        <w:fldChar w:fldCharType="separate"/>
      </w:r>
      <w:r w:rsidRPr="002050EB">
        <w:rPr>
          <w:rFonts w:ascii="Times New Roman" w:hAnsi="Times New Roman"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>nie</w:t>
      </w:r>
    </w:p>
    <w:p w:rsidR="002050EB" w:rsidRPr="002050EB" w:rsidRDefault="002050EB" w:rsidP="002050EB">
      <w:pPr>
        <w:tabs>
          <w:tab w:val="left" w:pos="720"/>
          <w:tab w:val="left" w:pos="1077"/>
          <w:tab w:val="left" w:pos="1440"/>
          <w:tab w:val="left" w:pos="1797"/>
        </w:tabs>
        <w:spacing w:before="360" w:after="240" w:line="240" w:lineRule="auto"/>
        <w:ind w:left="1224"/>
        <w:jc w:val="both"/>
        <w:rPr>
          <w:rFonts w:ascii="Times New Roman" w:hAnsi="Times New Roman" w:cs="Arial Unicode MS"/>
          <w:color w:val="000000"/>
          <w:sz w:val="24"/>
          <w:lang w:val="sk-SK"/>
        </w:rPr>
      </w:pPr>
      <w:r w:rsidRPr="002050EB">
        <w:rPr>
          <w:rFonts w:ascii="Times New Roman" w:hAnsi="Times New Roman"/>
          <w:color w:val="000000"/>
          <w:sz w:val="24"/>
          <w:lang w:val="sk-SK"/>
        </w:rPr>
        <w:t>Ak nie, vysvetlite, prečo sa v prípade tohto projektu nevyžaduje posúdenie vplyvov na životné prostredie.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numPr>
          <w:ilvl w:val="1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Činnosti nehospodárskej povahy patriace do právomoci verejného poriadku.</w:t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Potvrďte, či sa investície vzťahujú na činnosti, za ktoré zodpovedá štát pri vykonávaní svojich úradných právomocí ako verejný orgán (napr. kontrola letovej prevádzky, práca policajných, colných a protipožiarnych orgánov a činnosti potrebné na ochranu civilného letectva pred činmi protiprávneho zasahovania). Investície týkajúce sa infraštruktúry a zariadení nevyhnutných na vykonávanie takýchto činností sa všeobecne považujú za činnosti nehospodárskej povahy, a preto nepatria do rozsahu pôsobnosti pravidiel štátnej pomoci. Zahrňte príslušné investície do tabuľky uvedenej v oddiele 1.2.3.</w:t>
      </w:r>
    </w:p>
    <w:p w:rsidR="002050EB" w:rsidRPr="002050EB" w:rsidRDefault="002050EB" w:rsidP="002050EB">
      <w:pPr>
        <w:spacing w:before="240" w:after="120" w:line="240" w:lineRule="auto"/>
        <w:ind w:left="1418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 w:cs="Arial Unicode MS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 w:cs="Arial Unicode MS"/>
          <w:b/>
          <w:bCs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 w:cs="Arial Unicode MS"/>
          <w:b/>
          <w:bCs/>
          <w:sz w:val="24"/>
          <w:lang w:val="sk-SK"/>
        </w:rPr>
      </w:r>
      <w:r w:rsidRPr="002050EB">
        <w:rPr>
          <w:rFonts w:ascii="Times New Roman" w:hAnsi="Times New Roman" w:cs="Arial Unicode MS"/>
          <w:b/>
          <w:bCs/>
          <w:sz w:val="24"/>
          <w:lang w:val="sk-SK"/>
        </w:rPr>
        <w:fldChar w:fldCharType="separate"/>
      </w:r>
      <w:r w:rsidRPr="002050EB">
        <w:rPr>
          <w:rFonts w:ascii="Times New Roman" w:hAnsi="Times New Roman" w:cs="Arial Unicode MS"/>
          <w:b/>
          <w:bCs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 xml:space="preserve">áno </w:t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 w:cs="Arial Unicode MS"/>
          <w:b/>
          <w:bCs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 w:cs="Arial Unicode MS"/>
          <w:b/>
          <w:bCs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 w:cs="Arial Unicode MS"/>
          <w:b/>
          <w:bCs/>
          <w:sz w:val="24"/>
          <w:lang w:val="sk-SK"/>
        </w:rPr>
      </w:r>
      <w:r w:rsidRPr="002050EB">
        <w:rPr>
          <w:rFonts w:ascii="Times New Roman" w:hAnsi="Times New Roman" w:cs="Arial Unicode MS"/>
          <w:b/>
          <w:bCs/>
          <w:sz w:val="24"/>
          <w:lang w:val="sk-SK"/>
        </w:rPr>
        <w:fldChar w:fldCharType="separate"/>
      </w:r>
      <w:r w:rsidRPr="002050EB">
        <w:rPr>
          <w:rFonts w:ascii="Times New Roman" w:hAnsi="Times New Roman" w:cs="Arial Unicode MS"/>
          <w:b/>
          <w:bCs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>nie</w:t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Uveďte vnútroštátny, regionálny alebo akýkoľvek iný právny nástroj týkajúci sa pojmu „činnosti patriace do právomoci verejného poriadku“ a ich financovanie. Ak takýto právny nástroj neexistuje, objasnite, ako sú tieto činnosti spravidla financované príslušnými orgánmi.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lastRenderedPageBreak/>
        <w:tab/>
      </w:r>
    </w:p>
    <w:p w:rsidR="002050EB" w:rsidRPr="002050EB" w:rsidRDefault="002050EB" w:rsidP="002050EB">
      <w:pPr>
        <w:keepNext/>
        <w:numPr>
          <w:ilvl w:val="2"/>
          <w:numId w:val="3"/>
        </w:numPr>
        <w:spacing w:before="120" w:after="240" w:line="240" w:lineRule="auto"/>
        <w:ind w:left="1225" w:hanging="505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Uveďte dôkazy svedčiace o tom, že verejné financovanie nehospodárskych činností nevedie k neprípustnej diskriminácii medzi letiskami. Diskriminácia vzniká v situáciách, keď podľa príslušného právneho poriadku civilné letiská musia bežne znášať určité náklady spojené s ich nehospodárskymi činnosťami, zatiaľ čo niektoré civilné letiská takéto náklady nemusia pokrývať. Uveďte vecnú a územnú pôsobnosť vnútroštátnych predpisov, ktoré sa uplatňujú na financovanie nehospodárskych činností letísk, a v príslušných prípadoch úroveň regionálnych právomocí v tejto oblasti.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2127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2127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Na základe príslušných dôkazov potvrďte, že kompenzácia nákladov vzniknutých v súvislosti s nehospodárskymi činnosťami bude prísne obmedzená na takú výšku nákladov, pri ktorej sa účinne vylúčia akékoľvek krížové dotácie hospodárskych činností prostredníctvom tejto kompenzácie.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2127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2127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numPr>
          <w:ilvl w:val="2"/>
          <w:numId w:val="3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Potvrďte, že letisko bude viesť samostatné účty nákladov na hospodárske a nehospodárske činnosti.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2127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240" w:line="240" w:lineRule="auto"/>
        <w:ind w:left="2126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2050EB" w:rsidRPr="002050EB" w:rsidTr="00A31A81">
        <w:trPr>
          <w:trHeight w:val="737"/>
        </w:trPr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:rsidR="002050EB" w:rsidRPr="002050EB" w:rsidRDefault="002050EB" w:rsidP="002050EB">
            <w:pPr>
              <w:keepNext/>
              <w:numPr>
                <w:ilvl w:val="0"/>
                <w:numId w:val="1"/>
              </w:numPr>
              <w:tabs>
                <w:tab w:val="left" w:pos="720"/>
                <w:tab w:val="left" w:pos="1077"/>
                <w:tab w:val="left" w:pos="1440"/>
                <w:tab w:val="left" w:pos="1797"/>
              </w:tabs>
              <w:spacing w:before="240" w:after="24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iCs/>
                <w:sz w:val="24"/>
                <w:lang w:val="sk-SK"/>
              </w:rPr>
            </w:pPr>
            <w:r w:rsidRPr="002050EB">
              <w:rPr>
                <w:rFonts w:ascii="Times New Roman" w:eastAsia="Times New Roman" w:hAnsi="Times New Roman"/>
                <w:bCs/>
                <w:iCs/>
                <w:sz w:val="24"/>
                <w:lang w:val="sk-SK"/>
              </w:rPr>
              <w:t>Posúdenie zlučiteľnosti opatrenia</w:t>
            </w:r>
          </w:p>
        </w:tc>
      </w:tr>
    </w:tbl>
    <w:p w:rsidR="002050EB" w:rsidRPr="002050EB" w:rsidRDefault="002050EB" w:rsidP="002050EB">
      <w:pPr>
        <w:numPr>
          <w:ilvl w:val="1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Príspevok k jasne vymedzenému cieľu spoločného záujmu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Prispeje investičná pomoc k:</w:t>
      </w:r>
    </w:p>
    <w:p w:rsidR="002050EB" w:rsidRPr="002050EB" w:rsidRDefault="002050EB" w:rsidP="002050EB">
      <w:pPr>
        <w:numPr>
          <w:ilvl w:val="0"/>
          <w:numId w:val="6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instrText xml:space="preserve"> FORMCHECKBOX </w:instrText>
      </w:r>
      <w:r w:rsidRPr="002050EB">
        <w:rPr>
          <w:rFonts w:ascii="Times New Roman" w:eastAsia="Times New Roman" w:hAnsi="Times New Roman"/>
          <w:b/>
          <w:bCs/>
          <w:sz w:val="24"/>
          <w:szCs w:val="20"/>
          <w:lang w:val="sk-SK"/>
        </w:rPr>
      </w:r>
      <w:r w:rsidRPr="002050EB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fldChar w:fldCharType="separate"/>
      </w:r>
      <w:r w:rsidRPr="002050EB">
        <w:rPr>
          <w:rFonts w:ascii="Times New Roman" w:eastAsia="Times New Roman" w:hAnsi="Times New Roman"/>
          <w:b/>
          <w:bCs/>
          <w:sz w:val="24"/>
          <w:szCs w:val="20"/>
          <w:lang w:val="sk-SK"/>
        </w:rPr>
        <w:fldChar w:fldCharType="end"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ab/>
        <w:t>zvyšovaniu mobility občanov Únie a prepojenosti regiónov vytvorením prístupových bodov k letom v rámci Únie?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418"/>
        <w:contextualSpacing/>
        <w:jc w:val="both"/>
        <w:rPr>
          <w:rFonts w:ascii="Times New Roman" w:hAnsi="Times New Roman" w:cs="Arial Unicode MS"/>
          <w:color w:val="000000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Default="002050EB" w:rsidP="00CE105A">
      <w:pPr>
        <w:numPr>
          <w:ilvl w:val="0"/>
          <w:numId w:val="6"/>
        </w:numPr>
        <w:spacing w:before="120" w:after="24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  <w:instrText xml:space="preserve"> FORMCHECKBOX </w:instrText>
      </w: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</w: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  <w:fldChar w:fldCharType="separate"/>
      </w: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  <w:fldChar w:fldCharType="end"/>
      </w: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  <w:tab/>
        <w:t>zníženiu dopravnej preťaženosti v hlavných letiskách Únie?</w:t>
      </w:r>
    </w:p>
    <w:p w:rsidR="00CE105A" w:rsidRPr="002050EB" w:rsidRDefault="00CE105A" w:rsidP="00CE105A">
      <w:pPr>
        <w:tabs>
          <w:tab w:val="left" w:leader="dot" w:pos="9072"/>
        </w:tabs>
        <w:spacing w:before="120"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CE105A" w:rsidRPr="002050EB" w:rsidRDefault="00CE105A" w:rsidP="00CE105A">
      <w:pPr>
        <w:tabs>
          <w:tab w:val="left" w:leader="dot" w:pos="9072"/>
        </w:tabs>
        <w:spacing w:before="120" w:after="0" w:line="240" w:lineRule="auto"/>
        <w:ind w:left="1418"/>
        <w:contextualSpacing/>
        <w:jc w:val="both"/>
        <w:rPr>
          <w:rFonts w:ascii="Times New Roman" w:hAnsi="Times New Roman" w:cs="Arial Unicode MS"/>
          <w:color w:val="000000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CE105A" w:rsidRDefault="002050EB" w:rsidP="00CE105A">
      <w:pPr>
        <w:numPr>
          <w:ilvl w:val="0"/>
          <w:numId w:val="6"/>
        </w:numPr>
        <w:spacing w:before="120" w:after="240" w:line="240" w:lineRule="auto"/>
        <w:jc w:val="both"/>
        <w:rPr>
          <w:rFonts w:ascii="Times New Roman" w:eastAsia="Times New Roman" w:hAnsi="Times New Roman"/>
          <w:bCs/>
          <w:sz w:val="24"/>
          <w:szCs w:val="20"/>
          <w:lang w:val="sk-SK"/>
        </w:rPr>
      </w:pP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  <w:tab/>
      </w: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  <w:instrText xml:space="preserve"> FORMCHECKBOX </w:instrText>
      </w: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</w: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  <w:fldChar w:fldCharType="separate"/>
      </w: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  <w:fldChar w:fldCharType="end"/>
      </w:r>
      <w:r w:rsidRPr="00CE105A">
        <w:rPr>
          <w:rFonts w:ascii="Times New Roman" w:eastAsia="Times New Roman" w:hAnsi="Times New Roman"/>
          <w:bCs/>
          <w:sz w:val="24"/>
          <w:szCs w:val="20"/>
          <w:lang w:val="sk-SK"/>
        </w:rPr>
        <w:tab/>
        <w:t>regionálnemu rozvoju?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418"/>
        <w:contextualSpacing/>
        <w:jc w:val="both"/>
        <w:rPr>
          <w:rFonts w:ascii="Times New Roman" w:hAnsi="Times New Roman" w:cs="Arial Unicode MS"/>
          <w:color w:val="000000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spacing w:before="240" w:after="120" w:line="240" w:lineRule="auto"/>
        <w:ind w:left="1418"/>
        <w:jc w:val="both"/>
        <w:rPr>
          <w:rFonts w:ascii="Times New Roman" w:hAnsi="Times New Roman" w:cs="Arial Unicode MS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>Uveďte, ako investičná pomoc prispieva ku každému zo zvolených cieľov.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Je investícia zameraná na vytvorenie novej letiskovej kapacity?</w:t>
      </w:r>
    </w:p>
    <w:p w:rsidR="002050EB" w:rsidRPr="002050EB" w:rsidRDefault="002050EB" w:rsidP="002050EB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/>
          <w:sz w:val="24"/>
          <w:lang w:val="sk-SK"/>
        </w:rPr>
      </w:r>
      <w:r w:rsidRPr="002050EB">
        <w:rPr>
          <w:rFonts w:ascii="Times New Roman" w:hAnsi="Times New Roman"/>
          <w:sz w:val="24"/>
          <w:lang w:val="sk-SK"/>
        </w:rPr>
        <w:fldChar w:fldCharType="separate"/>
      </w:r>
      <w:r w:rsidRPr="002050EB">
        <w:rPr>
          <w:rFonts w:ascii="Times New Roman" w:hAnsi="Times New Roman"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 xml:space="preserve">áno </w:t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  <w:t xml:space="preserve"> </w:t>
      </w:r>
      <w:r w:rsidRPr="002050EB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/>
          <w:sz w:val="24"/>
          <w:lang w:val="sk-SK"/>
        </w:rPr>
      </w:r>
      <w:r w:rsidRPr="002050EB">
        <w:rPr>
          <w:rFonts w:ascii="Times New Roman" w:hAnsi="Times New Roman"/>
          <w:sz w:val="24"/>
          <w:lang w:val="sk-SK"/>
        </w:rPr>
        <w:fldChar w:fldCharType="separate"/>
      </w:r>
      <w:r w:rsidRPr="002050EB">
        <w:rPr>
          <w:rFonts w:ascii="Times New Roman" w:hAnsi="Times New Roman"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>nie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 xml:space="preserve">Ak je odpoveď na otázku v bode 2.1.2 „áno“, preukážte na základe obchodného plánu </w:t>
      </w:r>
      <w:r w:rsidRPr="002050EB">
        <w:rPr>
          <w:rFonts w:ascii="Times New Roman" w:eastAsia="Times New Roman" w:hAnsi="Times New Roman"/>
          <w:i/>
          <w:sz w:val="24"/>
          <w:szCs w:val="20"/>
          <w:lang w:val="sk-SK"/>
        </w:rPr>
        <w:t xml:space="preserve">ex ante 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>uvedeného v oddiele 2.3 – (Investičný projekt), že nová infraštruktúra v strednodobom horizonte uspokojí predpokladaný dopyt zo strany leteckých spoločností, cestujúcich a dopravcov nákladu v spádovej oblasti letiska.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 prípade individuálnej investičnej pomoci: nachádza sa letisko, ktoré je príjemcom pomoci, v rovnakej spádovej oblasti</w:t>
      </w:r>
      <w:r w:rsidRPr="002050EB">
        <w:rPr>
          <w:rFonts w:ascii="Times New Roman" w:eastAsia="Times New Roman" w:hAnsi="Times New Roman"/>
          <w:color w:val="000000"/>
          <w:sz w:val="24"/>
          <w:szCs w:val="20"/>
          <w:vertAlign w:val="superscript"/>
          <w:lang w:val="sk-SK"/>
        </w:rPr>
        <w:footnoteReference w:id="3"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 xml:space="preserve"> ako iné letisko, ktorého prevádzka nedosahuje úroveň plnej kapacity alebo blízku úroveň?</w:t>
      </w:r>
    </w:p>
    <w:p w:rsidR="002050EB" w:rsidRPr="002050EB" w:rsidRDefault="002050EB" w:rsidP="002050EB">
      <w:pPr>
        <w:spacing w:before="100" w:beforeAutospacing="1" w:after="100" w:afterAutospacing="1" w:line="240" w:lineRule="auto"/>
        <w:ind w:left="1985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/>
          <w:sz w:val="24"/>
          <w:lang w:val="sk-SK"/>
        </w:rPr>
      </w:r>
      <w:r w:rsidRPr="002050EB">
        <w:rPr>
          <w:rFonts w:ascii="Times New Roman" w:hAnsi="Times New Roman"/>
          <w:sz w:val="24"/>
          <w:lang w:val="sk-SK"/>
        </w:rPr>
        <w:fldChar w:fldCharType="separate"/>
      </w:r>
      <w:r w:rsidRPr="002050EB">
        <w:rPr>
          <w:rFonts w:ascii="Times New Roman" w:hAnsi="Times New Roman"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 xml:space="preserve">áno </w:t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  <w:t xml:space="preserve"> </w:t>
      </w:r>
      <w:r w:rsidRPr="002050EB">
        <w:rPr>
          <w:rFonts w:ascii="Times New Roman" w:hAnsi="Times New Roman"/>
          <w:sz w:val="24"/>
          <w:lang w:val="sk-SK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050EB">
        <w:rPr>
          <w:rFonts w:ascii="Times New Roman" w:hAnsi="Times New Roman"/>
          <w:sz w:val="24"/>
          <w:lang w:val="sk-SK"/>
        </w:rPr>
        <w:instrText xml:space="preserve"> FORMCHECKBOX </w:instrText>
      </w:r>
      <w:r w:rsidRPr="002050EB">
        <w:rPr>
          <w:rFonts w:ascii="Times New Roman" w:hAnsi="Times New Roman"/>
          <w:sz w:val="24"/>
          <w:lang w:val="sk-SK"/>
        </w:rPr>
      </w:r>
      <w:r w:rsidRPr="002050EB">
        <w:rPr>
          <w:rFonts w:ascii="Times New Roman" w:hAnsi="Times New Roman"/>
          <w:sz w:val="24"/>
          <w:lang w:val="sk-SK"/>
        </w:rPr>
        <w:fldChar w:fldCharType="separate"/>
      </w:r>
      <w:r w:rsidRPr="002050EB">
        <w:rPr>
          <w:rFonts w:ascii="Times New Roman" w:hAnsi="Times New Roman"/>
          <w:sz w:val="24"/>
          <w:lang w:val="sk-SK"/>
        </w:rPr>
        <w:fldChar w:fldCharType="end"/>
      </w:r>
      <w:r w:rsidRPr="002050EB">
        <w:rPr>
          <w:rFonts w:ascii="Times New Roman" w:hAnsi="Times New Roman"/>
          <w:sz w:val="24"/>
          <w:lang w:val="sk-SK"/>
        </w:rPr>
        <w:tab/>
        <w:t>nie</w:t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>Ak áno, poskytnite tieto informácie: a) uveďte veľkosť a tvar spádovej oblasti;</w:t>
      </w:r>
      <w:r w:rsidRPr="002050EB">
        <w:rPr>
          <w:rFonts w:ascii="Times New Roman" w:hAnsi="Times New Roman"/>
          <w:color w:val="000000"/>
          <w:sz w:val="24"/>
          <w:szCs w:val="20"/>
          <w:lang w:val="sk-SK" w:eastAsia="sk-SK" w:bidi="sk-SK"/>
        </w:rPr>
        <w:t xml:space="preserve"> b) vzdialenosť a cestovnú dobu medzi letiskom, ktoré je príjemcom pomoci, a letiskami v rovnakej spádovej oblasti; c) objem prepravy na ostatných letiskách v rovnakej spádovej oblasti počas piatich rokov, ktoré predchádzajú roku, v ktorom bola pomoc oznámená; d) očakávaný celkový dopyt a celkovú kapacitu v spádovej oblasti podporovaného letiska po dobu aspoň budúcich desiatich rokov podľa obchodného plánu v prípade pesimistického, základného a optimistického scenára</w:t>
      </w: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>..</w:t>
      </w: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br/>
      </w: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0" w:line="240" w:lineRule="auto"/>
        <w:ind w:left="1418"/>
        <w:contextualSpacing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hAnsi="Times New Roman"/>
          <w:sz w:val="24"/>
          <w:szCs w:val="20"/>
          <w:lang w:val="sk-SK" w:eastAsia="sk-SK" w:bidi="sk-SK"/>
        </w:rPr>
        <w:tab/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 prípade schém pomoci: uveďte a) umiestnenie a spádové oblasti oprávnených letísk  v oblasti územnej pôsobnosti schémy; b) vzdialenosť a cestovnú dobu medzi oprávnenými letiskami a letiskami v rovnakej spádovej oblasti; c) metódu a kritéria, ktoré budú vnútroštátne orgány používať na vymedzenie veľkosti a tvaru spádových oblastí a využitie kapacity letísk v tej istej spádovej oblasti.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 prípade individuálnej investičnej pomoci: ak je odpoveď na otázku v bode 2.1.4 „áno“, uveďte informácie o pravdepodobnom vplyve investície na využívanie existujúcej infraštruktúry v rovnakej spádovej oblasti. Týmito informáciami sa musia preukázať strednodobé výhľady využitia, pričom informácie musia vychádzať zo spoľahlivých predpovedí osobnej a nákladnej dopravy a musia byť súčasťou vopred vypracovaného obchodného plánu letiska, ktoré je príjemcom pomoci.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 prípade individuálnej investičnej pomoci: ak je odpoveď na otázku v bode 2.1.4 „áno“, uveďte prognózy dopravy z hľadiska počtu cestujúcich v najhoršom, základnom a najlepšom scenári a vysvetlite, prečo sa podľa vášho názoru týmito prognózami zdôvodňuje investičná pomoc na vytvorenie dodatočnej kapacity alebo zachovanie existujúcej kapacity.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1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Potreba štátneho zásahu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 prípade individuálnej investičnej pomoci: na základe obchodného plánu letiska vysvetlite, do akej miery závisí schopnosť letiska pokryť svoje investičné náklady od veľkosti letiska z hľadiska ročného objemu cestujúcich.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 prípade individuálnej investičnej pomoci: vysvetlite, prečo by letisko nemohlo získať dostatočné financovanie zo súkromných prostriedkov.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 w:cs="Arial Unicode MS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 w:cs="Arial Unicode MS"/>
          <w:b/>
          <w:color w:val="000000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 prípade schém pomoci: Potvrďte, že a) orgán poskytujúci pomoc overí potrebu intervencie zo štátnych prostriedkov v každom jednotlivom prípade na základe i) veľkosti letiska</w:t>
      </w:r>
      <w:r w:rsidRPr="002050EB">
        <w:rPr>
          <w:rFonts w:ascii="Times New Roman" w:eastAsia="Times New Roman" w:hAnsi="Times New Roman"/>
          <w:sz w:val="24"/>
          <w:szCs w:val="20"/>
          <w:vertAlign w:val="superscript"/>
          <w:lang w:val="sk-SK"/>
        </w:rPr>
        <w:footnoteReference w:id="4"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>; ii) schopnosti letiska prilákať súkromné prostriedky na financovanie.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1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Vhodnosť opatrenia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Preukážte, že predmetná pomoc je vhodná na dosiahnutie zamýšľaného cieľa alebo na vyriešenie problémov, ktoré má vyriešiť. Vysvetlite najmä, ako orgány určili, že rovnaký cieľ nemožno dosiahnuť a že rovnaký problém nemožno vyriešiť menej rušivým politickým nástrojom alebo nástrojmi pomoci a že predmetná pomoc je primeraná politickému nástroju, Ak sa pomoc poskytuje vo formách, ktorými sa zabezpečuje priama finančná výhoda</w:t>
      </w:r>
      <w:r w:rsidRPr="002050EB">
        <w:rPr>
          <w:rFonts w:ascii="Times New Roman" w:eastAsia="Times New Roman" w:hAnsi="Times New Roman"/>
          <w:color w:val="000000"/>
          <w:sz w:val="24"/>
          <w:szCs w:val="20"/>
          <w:vertAlign w:val="superscript"/>
          <w:lang w:val="sk-SK"/>
        </w:rPr>
        <w:footnoteReference w:id="5"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>, preukážte, prečo iné možné menej rušivé formy pomoci, ako sú vratné preddavky, alebo formy pomoci, ktoré sú založené na dlhových alebo kapitálových nástrojoch</w:t>
      </w:r>
      <w:r w:rsidRPr="002050EB">
        <w:rPr>
          <w:rFonts w:ascii="Times New Roman" w:eastAsia="Times New Roman" w:hAnsi="Times New Roman"/>
          <w:color w:val="000000"/>
          <w:sz w:val="24"/>
          <w:szCs w:val="20"/>
          <w:vertAlign w:val="superscript"/>
          <w:lang w:val="sk-SK"/>
        </w:rPr>
        <w:footnoteReference w:id="6"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>, nie sú vhodné: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1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Stimulačný účinok pomoci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 prípade individuálnej investičnej pomoci: Potvrďte, že práce na notifikovanej individuálnej investícii sa začali až po predložení žiadosti o pomoc orgánu, ktorý poskytuje pomoc. Predložte kópiu žiadosti o pomoc, ktorú príjemca zaslal orgánu poskytujúcemu pomoc, a listinný dôkaz o dátume začatí prác.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 w:cs="Arial Unicode MS"/>
          <w:color w:val="000000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 prípade schém pomoci: potvrďte, že práce na oprávnených investičných projektoch sa začnú až po predložení individuálnej žiadosti o pomoc orgánu poskytujúcemu pomoc.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</w: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 w:cs="Arial Unicode MS"/>
          <w:color w:val="000000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 prípade individuálnej investičnej pomoci: opíšte úrovne zamýšľanej činnosti v scenári s pomocou a v kontrafaktuálnom scenári bez pomoci. Poskytnite podporné dôkazy, napríklad vnútorné dokumenty týkajúce sa alternatívnych činností, na ktoré letisko, ktoré je príjemcom pomoci, prihliadalo v rámci svojho vnútorného rozhodovacieho postupu.</w:t>
      </w:r>
    </w:p>
    <w:p w:rsidR="002050EB" w:rsidRPr="002050EB" w:rsidRDefault="002050EB" w:rsidP="006A17B2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6A17B2">
      <w:pPr>
        <w:tabs>
          <w:tab w:val="left" w:leader="dot" w:pos="9072"/>
        </w:tabs>
        <w:spacing w:before="120" w:after="120" w:line="240" w:lineRule="auto"/>
        <w:ind w:left="1134"/>
        <w:jc w:val="both"/>
        <w:rPr>
          <w:rFonts w:ascii="Times New Roman" w:hAnsi="Times New Roman" w:cs="Arial Unicode MS"/>
          <w:color w:val="000000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iCs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 xml:space="preserve">V prípade individuálnej investičnej pomoci: ak existuje kontrafaktuálny scenár s alternatívnymi činnosťami, porovnajte obidva scenáre s cieľom určiť dodatočnú činnosť, ktorá by sa vykonala len v prípade poskytnutia pomoci (kontrafaktuálna analýza). 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ab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  <w:t>V prípade individuálnej investičnej pomoci: Ak kontrafaktuálny scenár s alternatívnymi činnosťami neexistuje, uveďte schodok financovania kapitálových nákladov stanovený na základe vopred vypracovaného obchodného plánu letiska, ktoré je príjemcom pomoci. Schodok financovania kapitálových nákladov je rozdiel medzi kladnými a zápornými peňažnými tokmi vrátane investičných nákladov do dlhodobého kapitálového majetku v priebehu trvania investície v čistej súčasnej hodnote.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 prípade schém pomoci: a) potvrďte, že orgán poskytujúci pomoc udelí jednotlivú pomoc na základe schémy až po tom, ako overil existenciu motivačného účinku, a to porovnaním miery zamýšľanej aktivity s pomocou a bez pomoci (hypotetická porovnávacia analýza), alebo v prípade, že by bez pomoci alternatívne činnosti neexistovali, určením schodku financovania kapitálových nákladov na základe vopred vypracovaného obchodného plánu letiska, ktoré je príjemcom pomoci</w:t>
      </w:r>
      <w:r w:rsidRPr="002050EB">
        <w:rPr>
          <w:rFonts w:ascii="Times New Roman" w:eastAsia="Times New Roman" w:hAnsi="Times New Roman"/>
          <w:sz w:val="24"/>
          <w:szCs w:val="20"/>
          <w:vertAlign w:val="superscript"/>
          <w:lang w:val="sk-SK"/>
        </w:rPr>
        <w:footnoteReference w:id="7"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>; b) opíšte všetky základné vstupné údaje, parametre a predpoklady, ktoré bude posudzovať orgán poskytujúci pomoc na účely analýzy stimulačného účinku.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keepNext/>
        <w:numPr>
          <w:ilvl w:val="1"/>
          <w:numId w:val="4"/>
        </w:numPr>
        <w:spacing w:before="120" w:after="240" w:line="240" w:lineRule="auto"/>
        <w:ind w:left="788" w:hanging="431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Primeranosť pomoci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 xml:space="preserve">V prípade individuálnej investičnej pomoci: v prípade existencie kontrafaktuálneho scenára s alternatívnymi činnosťami a) poskytnite vo forme tabuliek v exceli vopred vypracované obchodné plány pre scenár s pomocou a kontrafaktuálny scenár bez pomoci; b) na tomto základe spresnite čisté dodatočné náklady (po odčítaní dodatočných príjmov), ktoré vznikli z realizácie podporovaného projektu či podporovanej činnosti namiesto alternatívneho projektu či činnosti podľa kontrafaktuálneho scenára; c) vysvetlite všetky vstupné údaje, parametre a predpoklady. 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ab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  <w:t>Tieto obchodné plány by sa mali vzťahovať na obdobie ekonomickej životnosti investícií.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V prípade individuálnej investičnej pomoci, ak kontrafaktuálny scenár s alternatívnymi činnosťami neexistuje, a) poskytnite vo forme tabuľky v exceli vopred vypracovaný obchodný plán letiska, ktoré je príjemcom pomoci; b) na tomto základe uveďte schodok financovania kapitálových nákladov, ktoré predstavujú čistú súčasnú hodnotu rozdielu medzi pozitívnymi a negatívnymi peňažnými tokmi vrátane investičných nákladov, po dobu ekonomickej životnosti investície; c) vysvetlite všetky príslušné vstupné údaje, parametre a predpoklady.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 xml:space="preserve">V prípade schém pomoci sa zaväzujete a) overiť v každom jednotlivom prípade kontrafaktuálny scenár bez pomoci na základe vopred vypracovaných obchodných plánov; b) určiť dodatočné náklady (po odčítaní dodatočných príjmov), ktoré vznikli z realizácie podporovaného projektu či podporovanej činnosti namiesto alternatívneho projektu či činnosti podľa kontrafaktuálneho scenára, ak existuje kontrafaktuálny scenár s alternatívnymi činnosťami; c) určiť schodok financovania kapitálových nákladov, ktorý predstavuje čistú súčasnú hodnotu rozdielu medzi pozitívnymi a negatívnymi peňažnými tokmi vrátane investičných nákladov, po dobu ekonomickej životnosti investície, ak by sa alternatívne činnosti neuskutočnili. </w:t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tab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</w:r>
      <w:r w:rsidRPr="002050EB">
        <w:rPr>
          <w:rFonts w:ascii="Times New Roman" w:eastAsia="Times New Roman" w:hAnsi="Times New Roman"/>
          <w:sz w:val="24"/>
          <w:szCs w:val="20"/>
          <w:lang w:val="sk-SK"/>
        </w:rPr>
        <w:br/>
        <w:t xml:space="preserve">Opíšte </w:t>
      </w:r>
      <w:r w:rsidRPr="002050EB">
        <w:rPr>
          <w:rFonts w:ascii="Times New Roman" w:eastAsia="Times New Roman" w:hAnsi="Times New Roman"/>
          <w:color w:val="000000"/>
          <w:sz w:val="24"/>
          <w:szCs w:val="20"/>
          <w:lang w:val="sk-SK"/>
        </w:rPr>
        <w:t>všetky základné vstupné údaje, parametre a predpoklady, ktoré bude posudzovať orgán poskytujúci pomoc na účely preskúmania a analýzy.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keepNext/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Intenzita pomoci</w:t>
      </w:r>
    </w:p>
    <w:p w:rsidR="002050EB" w:rsidRPr="002050EB" w:rsidRDefault="002050EB" w:rsidP="002050EB">
      <w:pPr>
        <w:keepNext/>
        <w:tabs>
          <w:tab w:val="left" w:pos="1276"/>
          <w:tab w:val="left" w:pos="1797"/>
        </w:tabs>
        <w:spacing w:before="240" w:after="120" w:line="240" w:lineRule="auto"/>
        <w:ind w:left="1276"/>
        <w:jc w:val="both"/>
        <w:rPr>
          <w:rFonts w:ascii="Times New Roman" w:hAnsi="Times New Roman"/>
          <w:sz w:val="24"/>
          <w:szCs w:val="20"/>
          <w:lang w:val="sk-SK" w:eastAsia="sk-SK" w:bidi="sk-SK"/>
        </w:rPr>
      </w:pPr>
      <w:r w:rsidRPr="002050EB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t>Uveďte maximálne percento oprávnených nákladov, na ktoré sa vzťahuje investičná pomoc („intenzita pomoci“);  vrátane akéhokoľvek dodatočného financovania základnej intenzity pomoci: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pos="1276"/>
          <w:tab w:val="left" w:pos="1797"/>
        </w:tabs>
        <w:spacing w:before="240" w:after="120" w:line="240" w:lineRule="auto"/>
        <w:ind w:left="1276"/>
        <w:jc w:val="both"/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</w:pPr>
      <w:r w:rsidRPr="002050EB">
        <w:rPr>
          <w:rFonts w:ascii="Times New Roman" w:eastAsia="Times New Roman" w:hAnsi="Times New Roman" w:cs="Arial Unicode MS"/>
          <w:sz w:val="24"/>
          <w:szCs w:val="24"/>
          <w:lang w:val="sk-SK" w:eastAsia="sk-SK" w:bidi="sk-SK"/>
        </w:rPr>
        <w:t>Ak sa schéma pomoci vzťahuje na letiská rôznych veľkostí, uveďte maximálnu intenzitu pomoci, ktorá sa uplatňuje na tieto skupiny letísk:</w:t>
      </w:r>
    </w:p>
    <w:tbl>
      <w:tblPr>
        <w:tblW w:w="7920" w:type="dxa"/>
        <w:tblInd w:w="13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2"/>
        <w:gridCol w:w="3098"/>
      </w:tblGrid>
      <w:tr w:rsidR="002050EB" w:rsidRPr="002050EB" w:rsidTr="00A31A81"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>Veľkosť letiska na základe priemerného objemu cestujúcich (počet cestujúcich za rok)</w:t>
            </w:r>
          </w:p>
        </w:tc>
        <w:tc>
          <w:tcPr>
            <w:tcW w:w="3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>Maximálna intenzita investičnej pomoci</w:t>
            </w:r>
          </w:p>
        </w:tc>
      </w:tr>
      <w:tr w:rsidR="002050EB" w:rsidRPr="002050EB" w:rsidTr="00A31A81"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 xml:space="preserve">&gt; 3 až 5 miliónov </w:t>
            </w:r>
          </w:p>
        </w:tc>
        <w:tc>
          <w:tcPr>
            <w:tcW w:w="3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2050EB" w:rsidRPr="002050EB" w:rsidTr="00A31A81"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 xml:space="preserve">1 až 3 milióny </w:t>
            </w:r>
          </w:p>
        </w:tc>
        <w:tc>
          <w:tcPr>
            <w:tcW w:w="3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2050EB" w:rsidRPr="002050EB" w:rsidTr="00A31A81">
        <w:tc>
          <w:tcPr>
            <w:tcW w:w="48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  <w:r w:rsidRPr="002050EB">
              <w:rPr>
                <w:rFonts w:ascii="Times New Roman" w:hAnsi="Times New Roman"/>
                <w:sz w:val="24"/>
                <w:lang w:val="sk-SK"/>
              </w:rPr>
              <w:t xml:space="preserve">&lt; 1 milión </w:t>
            </w:r>
          </w:p>
        </w:tc>
        <w:tc>
          <w:tcPr>
            <w:tcW w:w="3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50EB" w:rsidRPr="002050EB" w:rsidRDefault="002050EB" w:rsidP="002050EB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lang w:val="sk-SK"/>
              </w:rPr>
            </w:pPr>
          </w:p>
        </w:tc>
      </w:tr>
    </w:tbl>
    <w:p w:rsidR="002050EB" w:rsidRPr="002050EB" w:rsidRDefault="002050EB" w:rsidP="002050EB">
      <w:pPr>
        <w:numPr>
          <w:ilvl w:val="1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Zabránenie negatívnym účinkom na hospodársku súťaž a obchod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Potvrďte, že letisko vrátane celej infraštruktúry a zariadení, na ktoré sa poskytuje pomoc, bude otvorené všetkým potenciálnym používateľom a nebude vyhradené pre jedného konkrétneho používateľa.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Uveďte opatrenia prijaté na zabezpečenie, že letiskové kapacity budú pridelené používateľom na základe relevantných, objektívnych, transparentných a nediskriminačných kritérií.</w:t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tabs>
          <w:tab w:val="left" w:leader="dot" w:pos="9072"/>
        </w:tabs>
        <w:spacing w:before="120" w:after="120" w:line="240" w:lineRule="auto"/>
        <w:ind w:left="1276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ab/>
      </w:r>
    </w:p>
    <w:p w:rsidR="002050EB" w:rsidRPr="002050EB" w:rsidRDefault="002050EB" w:rsidP="002050EB">
      <w:pPr>
        <w:numPr>
          <w:ilvl w:val="1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Notifikácia individuálnej pomoci v rámci schémy investičnej pomoci</w:t>
      </w:r>
    </w:p>
    <w:p w:rsidR="002050EB" w:rsidRPr="002050EB" w:rsidRDefault="002050EB" w:rsidP="002050EB">
      <w:pPr>
        <w:numPr>
          <w:ilvl w:val="2"/>
          <w:numId w:val="4"/>
        </w:numPr>
        <w:spacing w:before="120" w:after="240" w:line="240" w:lineRule="auto"/>
        <w:jc w:val="both"/>
        <w:rPr>
          <w:rFonts w:ascii="Times New Roman" w:eastAsia="Times New Roman" w:hAnsi="Times New Roman"/>
          <w:sz w:val="24"/>
          <w:szCs w:val="20"/>
          <w:lang w:val="sk-SK"/>
        </w:rPr>
      </w:pPr>
      <w:r w:rsidRPr="002050EB">
        <w:rPr>
          <w:rFonts w:ascii="Times New Roman" w:eastAsia="Times New Roman" w:hAnsi="Times New Roman"/>
          <w:sz w:val="24"/>
          <w:szCs w:val="20"/>
          <w:lang w:val="sk-SK"/>
        </w:rPr>
        <w:t>Nasledujúce individuálne opatrenia pomoci prijaté na základe schémy investičnej pomoci sa musia oznamovať v súlade s článkom 108 ods. 3) ZFEÚ:</w:t>
      </w:r>
    </w:p>
    <w:p w:rsidR="002050EB" w:rsidRPr="002050EB" w:rsidRDefault="002050EB" w:rsidP="002050EB">
      <w:pPr>
        <w:numPr>
          <w:ilvl w:val="4"/>
          <w:numId w:val="2"/>
        </w:numPr>
        <w:spacing w:before="120" w:after="120" w:line="240" w:lineRule="auto"/>
        <w:ind w:left="1276" w:hanging="567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>investičnú pomoc letiskám s priemerným ročným objemom viac než 3 milióny cestujúcich;</w:t>
      </w:r>
    </w:p>
    <w:p w:rsidR="002050EB" w:rsidRPr="002050EB" w:rsidRDefault="002050EB" w:rsidP="002050EB">
      <w:pPr>
        <w:numPr>
          <w:ilvl w:val="4"/>
          <w:numId w:val="2"/>
        </w:numPr>
        <w:spacing w:before="120" w:after="120" w:line="240" w:lineRule="auto"/>
        <w:ind w:left="1276" w:hanging="567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>investičnú pomoc, ktorá presahuje 75 % intenzity pomoci, pre letisko s priemerným ročným objemom do 1 milióna cestujúcich, , s výnimkou letísk umiestnených vo vzdialených regiónoch;</w:t>
      </w:r>
    </w:p>
    <w:p w:rsidR="002050EB" w:rsidRPr="002050EB" w:rsidRDefault="002050EB" w:rsidP="002050EB">
      <w:pPr>
        <w:numPr>
          <w:ilvl w:val="4"/>
          <w:numId w:val="2"/>
        </w:numPr>
        <w:spacing w:before="120" w:after="120" w:line="240" w:lineRule="auto"/>
        <w:ind w:left="1276" w:hanging="567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>investičnú pomoc poskytnutá na premiestnenie letísk;</w:t>
      </w:r>
    </w:p>
    <w:p w:rsidR="002050EB" w:rsidRPr="002050EB" w:rsidRDefault="002050EB" w:rsidP="002050EB">
      <w:pPr>
        <w:numPr>
          <w:ilvl w:val="4"/>
          <w:numId w:val="2"/>
        </w:numPr>
        <w:spacing w:before="120" w:after="120" w:line="240" w:lineRule="auto"/>
        <w:ind w:left="1276" w:hanging="567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>investičnú pomoc na financovanie letiska so zmiešanou osobnou a nákladnou dopravou v objeme vyše 200 000 ton nákladu počas dvoch finančných rokov predchádzajúcich roku, v ktorom sa pomoc notifikuje;</w:t>
      </w:r>
    </w:p>
    <w:p w:rsidR="002050EB" w:rsidRPr="002050EB" w:rsidRDefault="002050EB" w:rsidP="002050EB">
      <w:pPr>
        <w:numPr>
          <w:ilvl w:val="4"/>
          <w:numId w:val="2"/>
        </w:numPr>
        <w:spacing w:before="120" w:after="120" w:line="240" w:lineRule="auto"/>
        <w:ind w:left="1276" w:hanging="567"/>
        <w:jc w:val="both"/>
        <w:rPr>
          <w:rFonts w:ascii="Times New Roman" w:hAnsi="Times New Roman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>investičná pomoc určená na vznik nového letiska prevádzkujúceho osobnú dopravu (vrátane prestavby existujúceho malého letiska na letisko prevádzkujúce osobnú dopravu);</w:t>
      </w:r>
    </w:p>
    <w:p w:rsidR="002050EB" w:rsidRPr="002050EB" w:rsidRDefault="002050EB" w:rsidP="002050EB">
      <w:pPr>
        <w:numPr>
          <w:ilvl w:val="4"/>
          <w:numId w:val="2"/>
        </w:numPr>
        <w:spacing w:before="120" w:after="120" w:line="240" w:lineRule="auto"/>
        <w:ind w:left="1276" w:hanging="567"/>
        <w:jc w:val="both"/>
        <w:rPr>
          <w:rFonts w:ascii="Times New Roman" w:hAnsi="Times New Roman" w:cs="Arial Unicode MS"/>
          <w:b/>
          <w:color w:val="000000"/>
          <w:sz w:val="24"/>
          <w:lang w:val="sk-SK"/>
        </w:rPr>
      </w:pPr>
      <w:r w:rsidRPr="002050EB">
        <w:rPr>
          <w:rFonts w:ascii="Times New Roman" w:hAnsi="Times New Roman"/>
          <w:sz w:val="24"/>
          <w:lang w:val="sk-SK"/>
        </w:rPr>
        <w:t>investičná pomoc, ktorej cieľom je vytvorenie alebo rozvoj letiska nachádzajúceho sa vo vzdialenosti 100 km od existujúceho letiska alebo 60 minút jazdy autom, autobusom, vlakom alebo vysokorýchlostným vlakom.</w:t>
      </w:r>
    </w:p>
    <w:p w:rsidR="00A31A81" w:rsidRPr="002050EB" w:rsidRDefault="00A31A81" w:rsidP="002050EB">
      <w:pPr>
        <w:spacing w:before="120" w:after="120" w:line="240" w:lineRule="auto"/>
        <w:jc w:val="both"/>
        <w:rPr>
          <w:rFonts w:ascii="Times New Roman" w:hAnsi="Times New Roman"/>
          <w:sz w:val="24"/>
          <w:lang w:val="sk-SK"/>
        </w:rPr>
      </w:pPr>
    </w:p>
    <w:sectPr w:rsidR="00A31A81" w:rsidRPr="002050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C84" w:rsidRDefault="00BE2C84" w:rsidP="002050EB">
      <w:pPr>
        <w:spacing w:after="0" w:line="240" w:lineRule="auto"/>
      </w:pPr>
      <w:r>
        <w:separator/>
      </w:r>
    </w:p>
  </w:endnote>
  <w:endnote w:type="continuationSeparator" w:id="0">
    <w:p w:rsidR="00BE2C84" w:rsidRDefault="00BE2C84" w:rsidP="002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0EB" w:rsidRDefault="002050EB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45DC">
      <w:rPr>
        <w:noProof/>
      </w:rPr>
      <w:t>10</w:t>
    </w:r>
    <w:r>
      <w:rPr>
        <w:noProof/>
      </w:rPr>
      <w:fldChar w:fldCharType="end"/>
    </w:r>
  </w:p>
  <w:p w:rsidR="002050EB" w:rsidRDefault="002050E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C84" w:rsidRDefault="00BE2C84" w:rsidP="002050EB">
      <w:pPr>
        <w:spacing w:after="0" w:line="240" w:lineRule="auto"/>
      </w:pPr>
      <w:r>
        <w:separator/>
      </w:r>
    </w:p>
  </w:footnote>
  <w:footnote w:type="continuationSeparator" w:id="0">
    <w:p w:rsidR="00BE2C84" w:rsidRDefault="00BE2C84" w:rsidP="002050EB">
      <w:pPr>
        <w:spacing w:after="0" w:line="240" w:lineRule="auto"/>
      </w:pPr>
      <w:r>
        <w:continuationSeparator/>
      </w:r>
    </w:p>
  </w:footnote>
  <w:footnote w:id="1">
    <w:p w:rsidR="002050EB" w:rsidRPr="00DE66D5" w:rsidRDefault="002050EB" w:rsidP="002050EB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>Usmernenia o štátnej pomoci pre letiská a letecké spoločnosti (Ú. v. EÚ C 99, 4.4.2014, s. 3)</w:t>
      </w:r>
    </w:p>
  </w:footnote>
  <w:footnote w:id="2">
    <w:p w:rsidR="002050EB" w:rsidRPr="00DE66D5" w:rsidRDefault="002050EB" w:rsidP="002050EB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>Náklady spojené s investíciami do letiskovej infraštruktúry, vrátane nákladov na plánovanie, infraštruktúru pozemnej obsluhy (napr. pásy na prepravu batožiny atď.) a vybavenia letiska</w:t>
      </w:r>
      <w:r>
        <w:t xml:space="preserve"> môžu byť </w:t>
      </w:r>
      <w:r w:rsidRPr="00662713">
        <w:t>oprávne</w:t>
      </w:r>
      <w:r>
        <w:t>né ako investičná pomoc letiskám</w:t>
      </w:r>
      <w:r w:rsidRPr="00DE66D5">
        <w:t>. Investičné náklady spojené s neleteckými činnosťami (najmä parkoviská, hotely, reštaurácie a kancelárie) nie sú oprávnené. Investičné náklady spojené s poskytovaním služieb pozemnej obsluhy (napr. autobusy, obslužné vozidlá atď.) nie sú oprávnené, lebo nie sú súčasťou infraštruktúry pozemnej obsluhy.</w:t>
      </w:r>
    </w:p>
  </w:footnote>
  <w:footnote w:id="3">
    <w:p w:rsidR="002050EB" w:rsidRPr="00DE66D5" w:rsidRDefault="002050EB" w:rsidP="002050EB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</w:r>
      <w:r w:rsidRPr="000F4063">
        <w:t>„Spádová oblasť letiska“ je ohraničenie zemepisného trhu, ktoré je bežne stanovené na zhruba 100 kilometrov alebo približne 60 minút doby strávenej  na ceste autom, autobusom, vlakom alebo vysokorýchlostným vlakom; spádové oblasti jednotlivých letísk sa však môžu líšiť a pri ich stanovení sa musia brať do úvahy špecifiká každého letiska. Veľkosť</w:t>
      </w:r>
      <w:r w:rsidRPr="00DE66D5">
        <w:t xml:space="preserve"> a tvar spádovej oblasti sa medzi jednotlivými letiskami líši a závisí od rôznych vlastností letiska vrátane jeho obchodného modelu, polohy a cieľových letísk.</w:t>
      </w:r>
    </w:p>
  </w:footnote>
  <w:footnote w:id="4">
    <w:p w:rsidR="002050EB" w:rsidRPr="00DE66D5" w:rsidRDefault="002050EB" w:rsidP="002050EB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>Použite tieto kategórie veľkosti: letiská s ročným objemom prepravy do 200 000 cestujúcich; letiská s ročným objemom prepravy 200 000 až 1 milión cestujúcich; letiská s ročným objemom prepravy 1 až 3 milióny cestujúcich</w:t>
      </w:r>
      <w:r w:rsidRPr="00651A36">
        <w:t>.</w:t>
      </w:r>
    </w:p>
  </w:footnote>
  <w:footnote w:id="5">
    <w:p w:rsidR="002050EB" w:rsidRPr="00DE66D5" w:rsidRDefault="002050EB" w:rsidP="002050EB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>Napríklad priame granty, oslobodenia od dane alebo zníženia daní, poplatkov sociálneho zabezpečenia alebo iných povinných poplatkov alebo ponuka pozemkov, tovaru alebo služieb za výhodné ceny.</w:t>
      </w:r>
    </w:p>
  </w:footnote>
  <w:footnote w:id="6">
    <w:p w:rsidR="002050EB" w:rsidRPr="00DE66D5" w:rsidRDefault="002050EB" w:rsidP="002050EB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>Napríklad zvýhodnené úvery alebo bonifikácia úrokovej sadzby, štátne záruky, kúpa akciového podielu alebo náhradné poskytnutie kapitálu za výhodných podmienok.</w:t>
      </w:r>
    </w:p>
  </w:footnote>
  <w:footnote w:id="7">
    <w:p w:rsidR="002050EB" w:rsidRPr="00DE66D5" w:rsidRDefault="002050EB" w:rsidP="002050EB">
      <w:pPr>
        <w:pStyle w:val="Textpoznmkypodiarou"/>
      </w:pPr>
      <w:r w:rsidRPr="00DE66D5">
        <w:rPr>
          <w:rStyle w:val="Odkaznapoznmkupodiarou"/>
        </w:rPr>
        <w:footnoteRef/>
      </w:r>
      <w:r w:rsidRPr="00DE66D5">
        <w:t xml:space="preserve"> </w:t>
      </w:r>
      <w:r w:rsidRPr="00DE66D5">
        <w:tab/>
        <w:t>Schodok financovania kapitálových nákladov je rozdiel medzi kladnými a zápornými peňažnými tokmi vrátane investičných nákladov do dlhodobého kapitálového majetku v priebehu trvania investície v čistej súčasnej hodnote.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703"/>
    <w:multiLevelType w:val="multilevel"/>
    <w:tmpl w:val="488A3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E3108"/>
    <w:multiLevelType w:val="hybridMultilevel"/>
    <w:tmpl w:val="454C0238"/>
    <w:lvl w:ilvl="0" w:tplc="6A58108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605E6D28">
      <w:start w:val="1"/>
      <w:numFmt w:val="lowerLetter"/>
      <w:lvlText w:val="%5)"/>
      <w:lvlJc w:val="left"/>
      <w:pPr>
        <w:ind w:left="5040" w:hanging="360"/>
      </w:pPr>
      <w:rPr>
        <w:rFonts w:hint="default"/>
        <w:b w:val="0"/>
      </w:r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9D7162"/>
    <w:multiLevelType w:val="multilevel"/>
    <w:tmpl w:val="D4BE1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2F1597"/>
    <w:multiLevelType w:val="hybridMultilevel"/>
    <w:tmpl w:val="E1E0EBD0"/>
    <w:lvl w:ilvl="0" w:tplc="C9CE86B8">
      <w:start w:val="1"/>
      <w:numFmt w:val="lowerLetter"/>
      <w:lvlText w:val="(%1)"/>
      <w:lvlJc w:val="left"/>
      <w:pPr>
        <w:ind w:left="19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64" w:hanging="360"/>
      </w:pPr>
    </w:lvl>
    <w:lvl w:ilvl="2" w:tplc="0809001B" w:tentative="1">
      <w:start w:val="1"/>
      <w:numFmt w:val="lowerRoman"/>
      <w:lvlText w:val="%3."/>
      <w:lvlJc w:val="right"/>
      <w:pPr>
        <w:ind w:left="3384" w:hanging="180"/>
      </w:pPr>
    </w:lvl>
    <w:lvl w:ilvl="3" w:tplc="0809000F" w:tentative="1">
      <w:start w:val="1"/>
      <w:numFmt w:val="decimal"/>
      <w:lvlText w:val="%4."/>
      <w:lvlJc w:val="left"/>
      <w:pPr>
        <w:ind w:left="4104" w:hanging="360"/>
      </w:pPr>
    </w:lvl>
    <w:lvl w:ilvl="4" w:tplc="08090019" w:tentative="1">
      <w:start w:val="1"/>
      <w:numFmt w:val="lowerLetter"/>
      <w:lvlText w:val="%5."/>
      <w:lvlJc w:val="left"/>
      <w:pPr>
        <w:ind w:left="4824" w:hanging="360"/>
      </w:pPr>
    </w:lvl>
    <w:lvl w:ilvl="5" w:tplc="0809001B" w:tentative="1">
      <w:start w:val="1"/>
      <w:numFmt w:val="lowerRoman"/>
      <w:lvlText w:val="%6."/>
      <w:lvlJc w:val="right"/>
      <w:pPr>
        <w:ind w:left="5544" w:hanging="180"/>
      </w:pPr>
    </w:lvl>
    <w:lvl w:ilvl="6" w:tplc="0809000F" w:tentative="1">
      <w:start w:val="1"/>
      <w:numFmt w:val="decimal"/>
      <w:lvlText w:val="%7."/>
      <w:lvlJc w:val="left"/>
      <w:pPr>
        <w:ind w:left="6264" w:hanging="360"/>
      </w:pPr>
    </w:lvl>
    <w:lvl w:ilvl="7" w:tplc="08090019" w:tentative="1">
      <w:start w:val="1"/>
      <w:numFmt w:val="lowerLetter"/>
      <w:lvlText w:val="%8."/>
      <w:lvlJc w:val="left"/>
      <w:pPr>
        <w:ind w:left="6984" w:hanging="360"/>
      </w:pPr>
    </w:lvl>
    <w:lvl w:ilvl="8" w:tplc="080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4" w15:restartNumberingAfterBreak="0">
    <w:nsid w:val="1D3077B9"/>
    <w:multiLevelType w:val="multilevel"/>
    <w:tmpl w:val="F68E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8415E7"/>
    <w:multiLevelType w:val="multilevel"/>
    <w:tmpl w:val="92100ADA"/>
    <w:name w:val="0.7069622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713A0D07"/>
    <w:multiLevelType w:val="hybridMultilevel"/>
    <w:tmpl w:val="A47C9D60"/>
    <w:lvl w:ilvl="0" w:tplc="32CAC3B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50EB"/>
    <w:rsid w:val="000E503C"/>
    <w:rsid w:val="001145DC"/>
    <w:rsid w:val="00200C99"/>
    <w:rsid w:val="002050EB"/>
    <w:rsid w:val="002703BD"/>
    <w:rsid w:val="004659DC"/>
    <w:rsid w:val="00695E50"/>
    <w:rsid w:val="006A17B2"/>
    <w:rsid w:val="00725B6D"/>
    <w:rsid w:val="008500BD"/>
    <w:rsid w:val="00A31A81"/>
    <w:rsid w:val="00BE2C84"/>
    <w:rsid w:val="00CE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CBB445-92B5-4EFC-9CB3-FD0ED6A2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4659DC"/>
    <w:pPr>
      <w:spacing w:after="80"/>
    </w:pPr>
    <w:rPr>
      <w:rFonts w:ascii="Times New Roman" w:hAnsi="Times New Roman"/>
    </w:rPr>
  </w:style>
  <w:style w:type="character" w:customStyle="1" w:styleId="TextpoznmkypodiarouChar">
    <w:name w:val="Text poznámky pod čiarou Char"/>
    <w:link w:val="Textpoznmkypodiarou"/>
    <w:uiPriority w:val="99"/>
    <w:rsid w:val="004659DC"/>
    <w:rPr>
      <w:rFonts w:ascii="Times New Roman" w:hAnsi="Times New Roman"/>
    </w:rPr>
  </w:style>
  <w:style w:type="character" w:styleId="Odkaznapoznmkupodiarou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, Char"/>
    <w:link w:val="SUPERSChar"/>
    <w:uiPriority w:val="99"/>
    <w:unhideWhenUsed/>
    <w:rsid w:val="002050EB"/>
    <w:rPr>
      <w:vertAlign w:val="superscript"/>
    </w:rPr>
  </w:style>
  <w:style w:type="paragraph" w:customStyle="1" w:styleId="SUPERSChar">
    <w:name w:val="SUPERS Char"/>
    <w:aliases w:val="EN Footnote Reference Char"/>
    <w:basedOn w:val="Normlny"/>
    <w:link w:val="Odkaznapoznmkupodiarou"/>
    <w:uiPriority w:val="99"/>
    <w:rsid w:val="002050EB"/>
    <w:pPr>
      <w:spacing w:after="160" w:line="240" w:lineRule="exact"/>
    </w:pPr>
    <w:rPr>
      <w:sz w:val="20"/>
      <w:szCs w:val="20"/>
      <w:vertAlign w:val="superscript"/>
      <w:lang w:eastAsia="en-GB"/>
    </w:rPr>
  </w:style>
  <w:style w:type="paragraph" w:styleId="slovanzoznam">
    <w:name w:val="List Number"/>
    <w:basedOn w:val="Normlny"/>
    <w:rsid w:val="002050EB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2">
    <w:name w:val="List Number (Level 2)"/>
    <w:basedOn w:val="Normlny"/>
    <w:rsid w:val="002050EB"/>
    <w:pPr>
      <w:numPr>
        <w:ilvl w:val="1"/>
        <w:numId w:val="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3">
    <w:name w:val="List Number (Level 3)"/>
    <w:basedOn w:val="Normlny"/>
    <w:rsid w:val="002050EB"/>
    <w:pPr>
      <w:numPr>
        <w:ilvl w:val="2"/>
        <w:numId w:val="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customStyle="1" w:styleId="ListNumberLevel4">
    <w:name w:val="List Number (Level 4)"/>
    <w:basedOn w:val="Normlny"/>
    <w:rsid w:val="002050EB"/>
    <w:pPr>
      <w:numPr>
        <w:ilvl w:val="3"/>
        <w:numId w:val="5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050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050E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050E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050E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2699</Words>
  <Characters>15387</Characters>
  <Application>Microsoft Office Word</Application>
  <DocSecurity>4</DocSecurity>
  <Lines>128</Lines>
  <Paragraphs>36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TEZAK Vesna (COMP)</dc:creator>
  <cp:keywords/>
  <cp:lastModifiedBy>Richard Gazda</cp:lastModifiedBy>
  <cp:revision>2</cp:revision>
  <dcterms:created xsi:type="dcterms:W3CDTF">2016-04-12T12:56:00Z</dcterms:created>
  <dcterms:modified xsi:type="dcterms:W3CDTF">2016-04-12T12:56:00Z</dcterms:modified>
</cp:coreProperties>
</file>