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00543" w:rsidRPr="00700543" w:rsidTr="00A4021A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00543" w:rsidRPr="00700543" w:rsidRDefault="00700543" w:rsidP="00700543">
            <w:pPr>
              <w:keepNext/>
              <w:numPr>
                <w:ilvl w:val="1"/>
                <w:numId w:val="0"/>
              </w:numPr>
              <w:tabs>
                <w:tab w:val="num" w:pos="850"/>
              </w:tabs>
              <w:spacing w:before="240" w:after="240" w:line="240" w:lineRule="auto"/>
              <w:ind w:left="850" w:hanging="85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</w:pPr>
            <w:bookmarkStart w:id="0" w:name="_Toc414370363"/>
            <w:bookmarkStart w:id="1" w:name="_Toc416949015"/>
            <w:bookmarkStart w:id="2" w:name="_GoBack"/>
            <w:bookmarkEnd w:id="2"/>
            <w:r w:rsidRPr="00700543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>Časť III.5 – Formulár doplňujúcich informácií o štátnej pomoci na širokopásmové pripojenie</w:t>
            </w:r>
            <w:bookmarkEnd w:id="0"/>
            <w:bookmarkEnd w:id="1"/>
          </w:p>
        </w:tc>
      </w:tr>
    </w:tbl>
    <w:p w:rsidR="00700543" w:rsidRPr="00700543" w:rsidRDefault="00700543" w:rsidP="00700543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lang w:val="sk-SK"/>
        </w:rPr>
      </w:pPr>
    </w:p>
    <w:p w:rsidR="00700543" w:rsidRPr="00700543" w:rsidRDefault="00700543" w:rsidP="00700543">
      <w:pPr>
        <w:spacing w:before="120" w:after="120" w:line="240" w:lineRule="auto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Tento formulár doplňujúcich informácií by sa mal použiť na oznámenie pomoci, na ktorú sa vzťahujú Usmernenia EÚ pre uplatňovanie pravidiel štátnej pomoci v súvislosti s rýchlym zavádzaním širokopásmových sietí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1"/>
      </w:r>
      <w:r w:rsidRPr="00700543">
        <w:rPr>
          <w:rFonts w:ascii="Times New Roman" w:hAnsi="Times New Roman"/>
          <w:i/>
          <w:sz w:val="24"/>
          <w:lang w:val="sk-SK"/>
        </w:rPr>
        <w:t xml:space="preserve"> (ďalej len „usmernenia o širokopásmových sieťach“).</w:t>
      </w:r>
    </w:p>
    <w:p w:rsidR="00700543" w:rsidRPr="00700543" w:rsidRDefault="00700543" w:rsidP="00700543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6"/>
      </w:tblGrid>
      <w:tr w:rsidR="00700543" w:rsidRPr="00700543" w:rsidTr="00700543">
        <w:tc>
          <w:tcPr>
            <w:tcW w:w="9286" w:type="dxa"/>
            <w:shd w:val="clear" w:color="auto" w:fill="D9D9D9"/>
          </w:tcPr>
          <w:p w:rsidR="00700543" w:rsidRPr="00700543" w:rsidRDefault="00700543" w:rsidP="00700543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  <w:lang w:val="sk-SK" w:eastAsia="sk-SK" w:bidi="sk-SK"/>
              </w:rPr>
            </w:pPr>
            <w:r w:rsidRPr="00700543"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val="sk-SK" w:eastAsia="sk-SK" w:bidi="sk-SK"/>
              </w:rPr>
              <w:t>Charakteristiky notifikovaného opatrenia pomoci</w:t>
            </w:r>
          </w:p>
        </w:tc>
      </w:tr>
    </w:tbl>
    <w:p w:rsid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Opíšte cieľ opatrenia pomoci: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Vysvetlite, ako opatrenie pomoci zapadá do národnej stratégie rozvoja širokopásmových sietí a cieľov Únie (vrátane stratégie Európa 2020 a digitálnej agendy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2"/>
      </w:r>
      <w:r w:rsidRPr="00700543">
        <w:rPr>
          <w:rFonts w:ascii="Times New Roman" w:hAnsi="Times New Roman"/>
          <w:sz w:val="24"/>
          <w:lang w:val="sk-SK"/>
        </w:rPr>
        <w:t>).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Predložte dôvody na štátu intervenciu a vysvetlite očakávané prínosy opatrenia pomoci (napr. hospodárske a sociálne výhody, zvýšenie miery pokrytia širokopásmovým pripojením a šírenia internetu atď.).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Aká kategória sietí sa má opatrením pomoci podporiť?</w:t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Chrbticové siete (alebo medzimestské siete),</w:t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medziuzlové spoje (t alebo regionálne alebo tzv. middle-mile),</w:t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prístupové siete (alebo siete na pripojenie koncových používateľov).</w:t>
      </w:r>
    </w:p>
    <w:p w:rsidR="00700543" w:rsidRP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Ktoré prvky siete sa majú opatrením pomoci podporiť?</w:t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Pasívne prvky infraštruktúry,</w:t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aktívne zariadenia infraštruktúry.</w:t>
      </w:r>
    </w:p>
    <w:p w:rsidR="00700543" w:rsidRP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Aký typ širokopásmových sietí sa má opatrením pomoci podporiť?</w:t>
      </w:r>
    </w:p>
    <w:p w:rsidR="00700543" w:rsidRPr="00700543" w:rsidRDefault="00700543" w:rsidP="00700543">
      <w:pPr>
        <w:numPr>
          <w:ilvl w:val="1"/>
          <w:numId w:val="0"/>
        </w:numPr>
        <w:tabs>
          <w:tab w:val="num" w:pos="850"/>
        </w:tabs>
        <w:spacing w:before="120" w:after="0" w:line="240" w:lineRule="auto"/>
        <w:ind w:left="10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Základné širokopásmové siete (poskytujúce rýchlosť sťahovania aspoň 2 Mbps),</w:t>
      </w:r>
    </w:p>
    <w:p w:rsidR="00700543" w:rsidRPr="00700543" w:rsidRDefault="00700543" w:rsidP="00700543">
      <w:pPr>
        <w:numPr>
          <w:ilvl w:val="1"/>
          <w:numId w:val="0"/>
        </w:numPr>
        <w:tabs>
          <w:tab w:val="num" w:pos="850"/>
        </w:tabs>
        <w:spacing w:after="120" w:line="240" w:lineRule="auto"/>
        <w:ind w:left="720" w:firstLine="36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prístupové siete novej generácie („NGA“)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3"/>
      </w:r>
      <w:r w:rsidRPr="00700543">
        <w:rPr>
          <w:rFonts w:ascii="Times New Roman" w:hAnsi="Times New Roman"/>
          <w:sz w:val="24"/>
          <w:lang w:val="sk-SK"/>
        </w:rPr>
        <w:t>,</w:t>
      </w:r>
    </w:p>
    <w:p w:rsidR="00700543" w:rsidRPr="00700543" w:rsidRDefault="00700543" w:rsidP="00700543">
      <w:pPr>
        <w:numPr>
          <w:ilvl w:val="1"/>
          <w:numId w:val="0"/>
        </w:numPr>
        <w:tabs>
          <w:tab w:val="num" w:pos="850"/>
        </w:tabs>
        <w:spacing w:after="120" w:line="240" w:lineRule="auto"/>
        <w:ind w:left="720" w:firstLine="36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ultrarýchle širkopásomvé siete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4"/>
      </w:r>
      <w:r w:rsidRPr="00700543">
        <w:rPr>
          <w:rFonts w:ascii="Times New Roman" w:hAnsi="Times New Roman"/>
          <w:sz w:val="24"/>
          <w:lang w:val="sk-SK"/>
        </w:rPr>
        <w:t>.</w:t>
      </w:r>
    </w:p>
    <w:p w:rsidR="00700543" w:rsidRPr="00700543" w:rsidRDefault="00700543" w:rsidP="00700543">
      <w:pPr>
        <w:keepNext/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Na aké typy oblastí je opatrenie pomoci zamerané? Zatrieďte cieľové oblasti so zreteľom na jednotlivé segmenty a typ podporovanej siete a zatriedenie zdôvodnite pomocou overiteľných údajov.</w:t>
      </w:r>
    </w:p>
    <w:p w:rsidR="00700543" w:rsidRPr="00700543" w:rsidRDefault="00700543" w:rsidP="00700543">
      <w:pPr>
        <w:tabs>
          <w:tab w:val="left" w:pos="1560"/>
        </w:tabs>
        <w:spacing w:before="100" w:beforeAutospacing="1" w:after="100" w:afterAutospacing="1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Základné biele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Základné sivé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Základné čierne</w:t>
      </w:r>
    </w:p>
    <w:p w:rsidR="00700543" w:rsidRPr="00700543" w:rsidRDefault="00700543" w:rsidP="00700543">
      <w:pPr>
        <w:tabs>
          <w:tab w:val="left" w:pos="1560"/>
        </w:tabs>
        <w:spacing w:before="100" w:beforeAutospacing="1" w:after="100" w:afterAutospacing="1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NGA biele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NGA sivé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NGA čierne</w:t>
      </w:r>
    </w:p>
    <w:p w:rsidR="00700543" w:rsidRPr="00700543" w:rsidRDefault="00700543" w:rsidP="00700543">
      <w:pPr>
        <w:tabs>
          <w:tab w:val="left" w:pos="1560"/>
        </w:tabs>
        <w:spacing w:before="100" w:beforeAutospacing="1" w:after="100" w:afterAutospacing="1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Ultrarýchle biele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Ultrarýchle sivé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 xml:space="preserve"> Ultrarýchle čierne</w:t>
      </w:r>
    </w:p>
    <w:p w:rsidR="00700543" w:rsidRPr="00700543" w:rsidRDefault="00700543" w:rsidP="00700543">
      <w:pPr>
        <w:tabs>
          <w:tab w:val="left" w:pos="1560"/>
        </w:tabs>
        <w:spacing w:before="100" w:beforeAutospacing="1" w:after="100" w:afterAutospacing="1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</w:p>
    <w:p w:rsidR="00700543" w:rsidRP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Uveďte akékoľvek ďalšie podstatné informácie na objasnenie všeobecného kontextu opatrenia pomoci:</w:t>
      </w:r>
    </w:p>
    <w:p w:rsidR="00700543" w:rsidRPr="00700543" w:rsidRDefault="00700543" w:rsidP="00700543">
      <w:pPr>
        <w:numPr>
          <w:ilvl w:val="1"/>
          <w:numId w:val="2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Aký druh investičného a obchodného modelu sa prijme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5"/>
      </w:r>
      <w:r w:rsidRPr="00700543">
        <w:rPr>
          <w:rFonts w:ascii="Times New Roman" w:hAnsi="Times New Roman"/>
          <w:sz w:val="24"/>
          <w:lang w:val="sk-SK"/>
        </w:rPr>
        <w:t>?</w:t>
      </w:r>
    </w:p>
    <w:p w:rsidR="00700543" w:rsidRPr="00700543" w:rsidRDefault="00700543" w:rsidP="00700543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00543" w:rsidRPr="00700543" w:rsidTr="00700543">
        <w:tc>
          <w:tcPr>
            <w:tcW w:w="9356" w:type="dxa"/>
            <w:shd w:val="clear" w:color="auto" w:fill="D9D9D9"/>
          </w:tcPr>
          <w:p w:rsidR="00700543" w:rsidRPr="00700543" w:rsidRDefault="00700543" w:rsidP="00700543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  <w:lang w:val="sk-SK" w:eastAsia="sk-SK" w:bidi="sk-SK"/>
              </w:rPr>
            </w:pPr>
            <w:r w:rsidRPr="00700543"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val="sk-SK" w:eastAsia="sk-SK" w:bidi="sk-SK"/>
              </w:rPr>
              <w:t>Proces a poskytnutie opatrenia pomoci</w:t>
            </w:r>
          </w:p>
        </w:tc>
      </w:tr>
    </w:tbl>
    <w:p w:rsidR="00700543" w:rsidRPr="00700543" w:rsidRDefault="00700543" w:rsidP="00700543">
      <w:pPr>
        <w:keepNext/>
        <w:numPr>
          <w:ilvl w:val="1"/>
          <w:numId w:val="0"/>
        </w:numPr>
        <w:tabs>
          <w:tab w:val="num" w:pos="850"/>
        </w:tabs>
        <w:spacing w:before="240" w:after="120" w:line="240" w:lineRule="auto"/>
        <w:ind w:left="482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Mapovanie, analýza pokrytia</w:t>
      </w:r>
    </w:p>
    <w:p w:rsidR="00700543" w:rsidRP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Aký je rozsah opatrenia pomoci z hľadiska územného pokrytia?</w:t>
      </w:r>
    </w:p>
    <w:p w:rsidR="00700543" w:rsidRDefault="00700543" w:rsidP="00700543">
      <w:pPr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Uveďte informácie vrátane dátumu a predložte výsledky podrobného mapovania a analýzy pokrytia, ktoré boli vykonané s cieľom jasne určiť cieľové oblasti.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Verejná konzultácia</w:t>
      </w:r>
    </w:p>
    <w:p w:rsidR="00700543" w:rsidRDefault="00700543" w:rsidP="00700543">
      <w:pPr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Opíšte proces a výsledky otvorenej a transparentnej konzultácie s verejnosťou, v rámci ktorých sa všetkým zainteresovaným stranám poskytuje možnosť vyjadriť sa k plánovanému opatreniu pomoci. Predložte príslušné internetové odkazy, na ktorých boli publikované informácie o opatrení.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lastRenderedPageBreak/>
        <w:tab/>
      </w: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Konkurenčné výberové konanie</w:t>
      </w:r>
    </w:p>
    <w:p w:rsidR="00700543" w:rsidRDefault="00700543" w:rsidP="00700543">
      <w:pPr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V prípade zavedenia a/alebo prevádzkovania podporovanej siete nezávislým prevádzkovateľom potvrďte, že sa uskutoční konkurenčné výberové konanie v súlade so smernicami EÚ o verejnom obstarávaní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6"/>
      </w:r>
      <w:r w:rsidRPr="00700543">
        <w:rPr>
          <w:rFonts w:ascii="Times New Roman" w:hAnsi="Times New Roman"/>
          <w:sz w:val="24"/>
          <w:lang w:val="sk-SK"/>
        </w:rPr>
        <w:t>. Uveďte všetky podstatné informácie v tejto súvislosti: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Predložte informácie o tom, ako sa vyberie ekonomicky najvýhodnejšia ponuka (vrátane kritérií na vyhodnotenie ponúk a relatívnej váhy, ktorá sa prisúdi každému z vybraných kritérií), pričom sa zohľadňujú kvalitatívne kritériá (napríklad pokrytie, udržateľnosť technologického prístupu alebo vplyv riešenia na hospodársku súťaž) a cena: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Existujú minimálne požiadavky na služby, ktoré musí podporovaná sieť spĺňať (napr. minimálna šírka pásma, udržateľné služby, minimálne geografické pokrytie atď.)?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 áno, opíšte ich: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numPr>
          <w:ilvl w:val="1"/>
          <w:numId w:val="0"/>
        </w:numPr>
        <w:tabs>
          <w:tab w:val="num" w:pos="850"/>
        </w:tabs>
        <w:spacing w:before="240" w:after="120" w:line="240" w:lineRule="auto"/>
        <w:ind w:left="1202" w:hanging="635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Technologická neutralita</w:t>
      </w:r>
    </w:p>
    <w:p w:rsidR="00700543" w:rsidRP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Je opatrenie pomoci technologicky neutrálne?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 je odpoveď na otázku v bode 2.8 áno, opíšte, ako je táto zásada zabezpečená: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700543" w:rsidRDefault="00F62482" w:rsidP="00F62482">
      <w:pPr>
        <w:keepNext/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</w:p>
    <w:p w:rsidR="00700543" w:rsidRPr="00700543" w:rsidRDefault="00700543" w:rsidP="00700543">
      <w:pPr>
        <w:numPr>
          <w:ilvl w:val="1"/>
          <w:numId w:val="0"/>
        </w:numPr>
        <w:tabs>
          <w:tab w:val="num" w:pos="850"/>
        </w:tabs>
        <w:spacing w:before="240" w:after="120" w:line="240" w:lineRule="auto"/>
        <w:ind w:left="482" w:firstLine="85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Využitie existujúcej infraštruktúry</w:t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Predložte mapu existujúcej infraštruktúry zavedenej v danej krajine alebo v danom regióne vrátane všetkých nových infraštruktúr, ktoré plánujú komerční prevádzkovatelia v blízkej budúcnosti, t. j. v období troch rokov: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Vysvetlite, ako je zabezpečené, že prevádzkovatelia, ktorí sa chcú zúčastniť výberového konania, poskytnú všetky podstatné informácie o každej existujúcej infraštruktúre, ktorú v cieľovej oblasti vlastnia alebo kontrolujú: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keepNext/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Veľkoobchodný prístup</w:t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Vysvetlite, aký typ povinností umožniť „veľkoobchodný prístup“ bude podporovanej sieti uložený (vrátane prístupu k pasívnej a aktívnej infraštruktúre, práva používať káblovody a stožiare, neaktivované vlákna a pouličné rozvodné skrine) a ako dlho budú povinnosti umožniť tento prístup zachované: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Stanovenie cien za veľkoobchodný prístup</w:t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Vysvetlite, ako budú ceny za prístup porovnané s referenčnými hodnotami: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Mechanizmus spätného vrátenia poskytnutých prostriedkov a monitorovania</w:t>
      </w:r>
    </w:p>
    <w:p w:rsidR="00700543" w:rsidRP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Bude sa na opatrenie pomoci uplatňovať mechanizmus spätného vrátenia poskytnutých prostriedkov?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 nie</w:t>
      </w:r>
    </w:p>
    <w:p w:rsidR="00700543" w:rsidRDefault="00700543" w:rsidP="00700543">
      <w:pPr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 je odpoveď na otázku v bode 2.14 áno, opíšte tento mechanizmus, jeho charakteristiky a trvanie: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keepNext/>
        <w:keepLines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lastRenderedPageBreak/>
        <w:t>Vysvetlite, ako bude organizované monitorovanie opatrenia pomoci:</w:t>
      </w:r>
    </w:p>
    <w:p w:rsidR="00700543" w:rsidRPr="00700543" w:rsidRDefault="00700543" w:rsidP="00700543">
      <w:pPr>
        <w:keepNext/>
        <w:keepLines/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ktorý orgán verejnej moci bude monitorovanie vykonávať?</w:t>
      </w:r>
    </w:p>
    <w:p w:rsidR="00700543" w:rsidRPr="00700543" w:rsidRDefault="00700543" w:rsidP="00700543">
      <w:pPr>
        <w:keepNext/>
        <w:keepLines/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na ktoré aspekty opatrenia sa bude monitorovanie vzťahovať?</w:t>
      </w:r>
    </w:p>
    <w:p w:rsidR="00700543" w:rsidRPr="00700543" w:rsidRDefault="00700543" w:rsidP="00700543">
      <w:pPr>
        <w:keepNext/>
        <w:keepLines/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ktoré kritériá výkonnosti budú analyzované?</w:t>
      </w:r>
    </w:p>
    <w:p w:rsidR="00700543" w:rsidRPr="00700543" w:rsidRDefault="00700543" w:rsidP="00700543">
      <w:pPr>
        <w:keepNext/>
        <w:keepLines/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aké bude načasovanie monitorovania?</w:t>
      </w: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Národný regulačný orgán</w:t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Opíšte úlohu národného regulačného orgánu, a to najmä pokiaľ ide o: identifikáciu cieľových oblastí, stanovovanie cien za veľkoobchodný prístup vrátane referenčného porovnávania, riešenia sporov atď: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keepNext/>
        <w:numPr>
          <w:ilvl w:val="1"/>
          <w:numId w:val="4"/>
        </w:numPr>
        <w:tabs>
          <w:tab w:val="left" w:pos="3119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Uveďte stanovisko národného regulačného orgánu k navrhovanému zásahu vo forme pomoci a ak je dostupné aj stanovisko vnútroštátneho orgánu pre hospodársku súťaž: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480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00543" w:rsidRPr="00700543" w:rsidTr="00700543">
        <w:tc>
          <w:tcPr>
            <w:tcW w:w="9356" w:type="dxa"/>
            <w:shd w:val="clear" w:color="auto" w:fill="D9D9D9"/>
          </w:tcPr>
          <w:p w:rsidR="00700543" w:rsidRPr="00700543" w:rsidRDefault="00700543" w:rsidP="00700543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  <w:lang w:val="sk-SK" w:eastAsia="sk-SK" w:bidi="sk-SK"/>
              </w:rPr>
            </w:pPr>
            <w:r w:rsidRPr="00700543"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val="sk-SK" w:eastAsia="sk-SK" w:bidi="sk-SK"/>
              </w:rPr>
              <w:t xml:space="preserve">Kritériá zlučiteľnosti </w:t>
            </w:r>
          </w:p>
        </w:tc>
      </w:tr>
    </w:tbl>
    <w:p w:rsidR="00700543" w:rsidRPr="00700543" w:rsidRDefault="00700543" w:rsidP="00700543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700543" w:rsidRDefault="00700543" w:rsidP="00700543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Vysvetlite, ako sú v notifikovanom opatrení pomoci splnené podmienky stanovené v oddiele 2.5 usmernení o širokopásmových sieťach, najmä pokiaľ ide o: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firstLine="567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Cieľ spoločného záujmu</w:t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a)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Je opatrenie pomoci zamerané na riešenie jasne vymedzených cieľov spoločného záujmu?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b)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Ak je odpoveď na otázku v písmene a) áno, opíšte ciele spoločného záujmu, ktoré sa opatrením pomoci sledujú.</w:t>
      </w:r>
    </w:p>
    <w:p w:rsidR="00700543" w:rsidRPr="00700543" w:rsidRDefault="00700543" w:rsidP="00700543">
      <w:pPr>
        <w:spacing w:before="240" w:after="120" w:line="240" w:lineRule="auto"/>
        <w:ind w:left="720" w:hanging="153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Zlyhanie trhu</w:t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c)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Rieši sa opatrením pomoci zlyhanie trhu alebo významné nerovnosti obmedzujúce dostupnosť služieb širokopásmového pripojenia?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>d)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Ak je odpoveď na otázku v písmene c) áno, opíšte toto zlyhanie trhu a poskytnite všeobecný prehľad o trhu so širokopásmovým pripojením v danej krajine alebo v danom regióne a oblastiach, na ktoré sa zameriava opatrenie pomoci.</w:t>
      </w:r>
    </w:p>
    <w:p w:rsidR="00700543" w:rsidRDefault="00700543" w:rsidP="00700543">
      <w:pPr>
        <w:numPr>
          <w:ilvl w:val="1"/>
          <w:numId w:val="0"/>
        </w:numPr>
        <w:tabs>
          <w:tab w:val="num" w:pos="850"/>
        </w:tabs>
        <w:spacing w:before="120" w:after="120" w:line="240" w:lineRule="auto"/>
        <w:ind w:left="1843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Tento prehľad by mal obsahovať informácie o súčasnej úrovni širokopásmového pokrytia, rozsahu pokrytia internetom (počet pripojených domácností, podnikov), dostupnosti služieb podľa technológie, hlavných trendoch na (celoštátnom alebo regionálnom) trhu so širokopásmovým pripojením, o pokrytí mestských/vidieckych oblastí širokopásmovým pripojením, porovnanie maloobchodných cien s cenami účtovanými za rovnaké služby ponúkané v konkurencieschopnejších, ale inak porovnateľných oblastiach alebo regiónoch krajiny, dostupných technologických riešeniach na rozvoj širokopásmového pripojenia a poskytovanie služieb konektivity, o konkurenčnej situácii na trhoch elektronických komunikácií (štruktúra a dynamika trhov), prehľad vnútroštátneho regulačného rámca a existujúcich regulačných povinností pre prevádzkovateľov elektronických komunikácií.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1843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1843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left="567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Vhodný nástroj</w:t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e)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Preukážte vhodnosť opatrenia pomoci: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f)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 xml:space="preserve">Boli už zavedené akékoľvek iné alternatívne (menej rušivé) nástroje na umožnenie poskytovania služieb širokopásmového pripojenia a prekonanie chýbajúcej dostupnosti širokopásmového pripojenia vrátane regulácie </w:t>
      </w:r>
      <w:r w:rsidRPr="00700543">
        <w:rPr>
          <w:rFonts w:ascii="Times New Roman" w:eastAsia="Times New Roman" w:hAnsi="Times New Roman"/>
          <w:i/>
          <w:sz w:val="24"/>
          <w:szCs w:val="20"/>
          <w:lang w:val="sk-SK"/>
        </w:rPr>
        <w:t xml:space="preserve">ex ante 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>alebo stimulácie dopytu?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g)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Ak je odpoveď na otázku v písmene f) áno, opíšte tieto iniciatívy a vysvetlite, prečo sa považovali za nedostatočné na dosiahnutie želaných h cieľov v oblasti rozvoja širokopásmového pripojenia: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h)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Urobili existujúci prevádzkovatelia siete akúkoľvek súkromnú investíciu v cieľových oblastiach počas uplynulých troch rokoch?</w:t>
      </w:r>
    </w:p>
    <w:p w:rsid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F62482" w:rsidRPr="00700543" w:rsidRDefault="00F62482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i)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Ak je odpoveď na otázku v písmene h) áno, opíšte tieto investície a vysvetlite, prečo existujúca infraštruktúra širokopásmového pripojenia nie je dostatočná na uspokojenie potrieb občanov a podnikov a prečo je štátna pomoc nevyhnutná.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firstLine="567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Stimulačný účinok</w:t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j)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Opíšte pozitívne vplyvy, ktoré by opatrenie pomoci malo priniesť.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left="567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Zmena k lepšiemu</w:t>
      </w:r>
    </w:p>
    <w:p w:rsidR="00700543" w:rsidRP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k)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Zabezpečí sa opatrením pomoci „zmena k lepšiemu“, pokiaľ ide o dostupnosť širokopásmového pripojenia?</w:t>
      </w:r>
    </w:p>
    <w:p w:rsidR="00700543" w:rsidRPr="00700543" w:rsidRDefault="00700543" w:rsidP="00700543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 xml:space="preserve">áno </w:t>
      </w:r>
      <w:r w:rsidRPr="00700543">
        <w:rPr>
          <w:rFonts w:ascii="Times New Roman" w:hAnsi="Times New Roman"/>
          <w:sz w:val="24"/>
          <w:lang w:val="sk-SK"/>
        </w:rPr>
        <w:tab/>
      </w:r>
      <w:r w:rsidRPr="00700543">
        <w:rPr>
          <w:rFonts w:ascii="Times New Roman" w:hAnsi="Times New Roman"/>
          <w:sz w:val="24"/>
          <w:lang w:val="sk-SK"/>
        </w:rPr>
        <w:tab/>
        <w:t xml:space="preserve"> </w:t>
      </w:r>
      <w:r w:rsidRPr="00700543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0543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00543">
        <w:rPr>
          <w:rFonts w:ascii="Times New Roman" w:hAnsi="Times New Roman"/>
          <w:sz w:val="24"/>
          <w:lang w:val="sk-SK"/>
        </w:rPr>
      </w:r>
      <w:r w:rsidRPr="00700543">
        <w:rPr>
          <w:rFonts w:ascii="Times New Roman" w:hAnsi="Times New Roman"/>
          <w:sz w:val="24"/>
          <w:lang w:val="sk-SK"/>
        </w:rPr>
        <w:fldChar w:fldCharType="separate"/>
      </w:r>
      <w:r w:rsidRPr="00700543">
        <w:rPr>
          <w:rFonts w:ascii="Times New Roman" w:hAnsi="Times New Roman"/>
          <w:sz w:val="24"/>
          <w:lang w:val="sk-SK"/>
        </w:rPr>
        <w:fldChar w:fldCharType="end"/>
      </w:r>
      <w:r w:rsidRPr="00700543">
        <w:rPr>
          <w:rFonts w:ascii="Times New Roman" w:hAnsi="Times New Roman"/>
          <w:sz w:val="24"/>
          <w:lang w:val="sk-SK"/>
        </w:rPr>
        <w:tab/>
        <w:t>nie</w:t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l)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Ak je odpoveď na otázku v písmene k) áno, preukážte to porovnaním existujúceho a plánovaného rozmiestnenia siete (t. j. pred plánovaným zásahom a po ňom). Najmä podrobne opíšte, či a do akej miery budú vykonané významné nové investície do širokopásmových sietí a aké nové schopnosti budú uvedené na trh, pokiaľ ide o dostupnosť a kvalitu služieb širokopásmového pripojenia: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m)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Vysvetlite očakávané zmeny v správaní príjemcu(-ov) opatrenia pomoci: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n)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Preukážte, že v prípade neposkytnutia štátnej pomoci by sa nerealizovali podobné investície do širokopásmových sietí v rovnakom časovom rámci a/alebo za rovnakých podmienok: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Primeranosť</w:t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o)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Vysvetlite, ako je zabezpečené, že opatrenie pomoci je obmedzené na nevyhnutné minimum: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F62482" w:rsidRPr="00700543" w:rsidRDefault="00F62482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</w:p>
    <w:p w:rsidR="00700543" w:rsidRPr="00700543" w:rsidRDefault="00700543" w:rsidP="00700543">
      <w:pPr>
        <w:spacing w:before="240" w:after="120" w:line="240" w:lineRule="auto"/>
        <w:ind w:left="1417" w:hanging="510"/>
        <w:jc w:val="both"/>
        <w:rPr>
          <w:rFonts w:ascii="Times New Roman" w:hAnsi="Times New Roman"/>
          <w:i/>
          <w:sz w:val="24"/>
          <w:lang w:val="sk-SK"/>
        </w:rPr>
      </w:pPr>
      <w:r w:rsidRPr="00700543">
        <w:rPr>
          <w:rFonts w:ascii="Times New Roman" w:hAnsi="Times New Roman"/>
          <w:i/>
          <w:sz w:val="24"/>
          <w:lang w:val="sk-SK"/>
        </w:rPr>
        <w:t>Narušenie hospodárskej súťaže a ovplyvnenie obchodu</w:t>
      </w:r>
    </w:p>
    <w:p w:rsidR="00700543" w:rsidRDefault="00700543" w:rsidP="00700543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00543">
        <w:rPr>
          <w:rFonts w:ascii="Times New Roman" w:eastAsia="Times New Roman" w:hAnsi="Times New Roman"/>
          <w:sz w:val="24"/>
          <w:szCs w:val="20"/>
          <w:lang w:val="sk-SK"/>
        </w:rPr>
        <w:t>p)</w:t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ab/>
        <w:t>Vysvetlite potenciálne negatívne účinky opatrenia pomoci na hospodársku súťaž a obchod (napr.  možnosť vytesnenia súkromných investícií alebo posilnenia dominantného postavenia) a uveďte, ktoré prvky návrhu opatrenia</w:t>
      </w:r>
      <w:r w:rsidRPr="00700543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7"/>
      </w:r>
      <w:r w:rsidRPr="00700543">
        <w:rPr>
          <w:rFonts w:ascii="Times New Roman" w:eastAsia="Times New Roman" w:hAnsi="Times New Roman"/>
          <w:sz w:val="24"/>
          <w:szCs w:val="20"/>
          <w:lang w:val="sk-SK"/>
        </w:rPr>
        <w:t xml:space="preserve"> by mohli tieto riziká minimalizovať:</w:t>
      </w:r>
    </w:p>
    <w:p w:rsidR="00F62482" w:rsidRPr="00700543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F62482" w:rsidRPr="00F62482" w:rsidRDefault="00F62482" w:rsidP="00F6248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00543" w:rsidRPr="00700543" w:rsidTr="00700543">
        <w:tc>
          <w:tcPr>
            <w:tcW w:w="9356" w:type="dxa"/>
            <w:shd w:val="clear" w:color="auto" w:fill="D9D9D9"/>
          </w:tcPr>
          <w:p w:rsidR="00700543" w:rsidRPr="00700543" w:rsidRDefault="00700543" w:rsidP="00700543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szCs w:val="20"/>
                <w:lang w:val="sk-SK" w:eastAsia="sk-SK" w:bidi="sk-SK"/>
              </w:rPr>
            </w:pPr>
            <w:r w:rsidRPr="00700543">
              <w:rPr>
                <w:rFonts w:ascii="Times New Roman" w:eastAsia="Times New Roman" w:hAnsi="Times New Roman"/>
                <w:bCs/>
                <w:iCs/>
                <w:sz w:val="24"/>
                <w:szCs w:val="20"/>
                <w:lang w:val="sk-SK" w:eastAsia="sk-SK" w:bidi="sk-SK"/>
              </w:rPr>
              <w:t>Ďalšie informácie</w:t>
            </w:r>
          </w:p>
        </w:tc>
      </w:tr>
    </w:tbl>
    <w:p w:rsidR="00700543" w:rsidRPr="00700543" w:rsidRDefault="00700543" w:rsidP="00700543">
      <w:pPr>
        <w:spacing w:before="120" w:after="120" w:line="240" w:lineRule="auto"/>
        <w:ind w:left="1417"/>
        <w:jc w:val="both"/>
        <w:rPr>
          <w:rFonts w:ascii="Times New Roman" w:hAnsi="Times New Roman"/>
          <w:sz w:val="24"/>
          <w:lang w:val="sk-SK"/>
        </w:rPr>
      </w:pPr>
    </w:p>
    <w:p w:rsidR="00700543" w:rsidRPr="00700543" w:rsidRDefault="00700543" w:rsidP="00700543">
      <w:pPr>
        <w:numPr>
          <w:ilvl w:val="1"/>
          <w:numId w:val="0"/>
        </w:numPr>
        <w:tabs>
          <w:tab w:val="num" w:pos="850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>Tu uveďte akékoľvek ďalšie informácie, ktoré považujete za dôležité na posúdenie príslušného opatrenia podľa usmernení o širokopásmových sieťach, alebo akékoľvek ďalšie informácie, ktoré sú podstatné z hľadiska pravidiel hospodárskej súťaže a vnútorného trhu Únie</w:t>
      </w:r>
      <w:r w:rsidRPr="00700543">
        <w:rPr>
          <w:rFonts w:ascii="Times New Roman" w:hAnsi="Times New Roman"/>
          <w:sz w:val="24"/>
          <w:vertAlign w:val="superscript"/>
          <w:lang w:val="sk-SK"/>
        </w:rPr>
        <w:footnoteReference w:id="8"/>
      </w:r>
      <w:r w:rsidRPr="00700543">
        <w:rPr>
          <w:rFonts w:ascii="Times New Roman" w:hAnsi="Times New Roman"/>
          <w:sz w:val="24"/>
          <w:lang w:val="sk-SK"/>
        </w:rPr>
        <w:t>.</w:t>
      </w:r>
    </w:p>
    <w:p w:rsidR="00700543" w:rsidRPr="00700543" w:rsidRDefault="00700543" w:rsidP="00700543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iCs/>
          <w:sz w:val="24"/>
          <w:lang w:val="sk-SK"/>
        </w:rPr>
      </w:pPr>
      <w:r w:rsidRPr="00700543">
        <w:rPr>
          <w:rFonts w:ascii="Times New Roman" w:hAnsi="Times New Roman"/>
          <w:sz w:val="24"/>
          <w:lang w:val="sk-SK"/>
        </w:rPr>
        <w:tab/>
      </w:r>
    </w:p>
    <w:p w:rsidR="00A4021A" w:rsidRPr="00700543" w:rsidRDefault="00A4021A" w:rsidP="00700543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sectPr w:rsidR="00A4021A" w:rsidRPr="007005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1C" w:rsidRDefault="00B6141C" w:rsidP="00700543">
      <w:pPr>
        <w:spacing w:after="0" w:line="240" w:lineRule="auto"/>
      </w:pPr>
      <w:r>
        <w:separator/>
      </w:r>
    </w:p>
  </w:endnote>
  <w:endnote w:type="continuationSeparator" w:id="0">
    <w:p w:rsidR="00B6141C" w:rsidRDefault="00B6141C" w:rsidP="0070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43" w:rsidRDefault="0070054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54E">
      <w:rPr>
        <w:noProof/>
      </w:rPr>
      <w:t>2</w:t>
    </w:r>
    <w:r>
      <w:rPr>
        <w:noProof/>
      </w:rPr>
      <w:fldChar w:fldCharType="end"/>
    </w:r>
  </w:p>
  <w:p w:rsidR="00700543" w:rsidRDefault="0070054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1C" w:rsidRDefault="00B6141C" w:rsidP="00700543">
      <w:pPr>
        <w:spacing w:after="0" w:line="240" w:lineRule="auto"/>
      </w:pPr>
      <w:r>
        <w:separator/>
      </w:r>
    </w:p>
  </w:footnote>
  <w:footnote w:type="continuationSeparator" w:id="0">
    <w:p w:rsidR="00B6141C" w:rsidRDefault="00B6141C" w:rsidP="00700543">
      <w:pPr>
        <w:spacing w:after="0" w:line="240" w:lineRule="auto"/>
      </w:pPr>
      <w:r>
        <w:continuationSeparator/>
      </w:r>
    </w:p>
  </w:footnote>
  <w:footnote w:id="1">
    <w:p w:rsidR="00700543" w:rsidRPr="00EE2158" w:rsidRDefault="00700543" w:rsidP="00700543">
      <w:pPr>
        <w:pStyle w:val="Textpoznmkypodiarou"/>
        <w:rPr>
          <w:i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tab/>
      </w:r>
      <w:r w:rsidRPr="00EE2158">
        <w:rPr>
          <w:sz w:val="18"/>
          <w:szCs w:val="18"/>
        </w:rPr>
        <w:t>Usmernenia EÚ pre uplatňovanie pravidiel štátnej pomoci v súvislosti s rýchlym zavádzaním širokopásmových sietí (Ú. v. EÚ C 25, 26.1.2013, s. 1).</w:t>
      </w:r>
    </w:p>
  </w:footnote>
  <w:footnote w:id="2">
    <w:p w:rsidR="00700543" w:rsidRPr="00EE2158" w:rsidRDefault="00700543" w:rsidP="00700543">
      <w:pPr>
        <w:pStyle w:val="Textpoznmkypodiarou"/>
        <w:rPr>
          <w:sz w:val="18"/>
          <w:szCs w:val="18"/>
        </w:rPr>
      </w:pPr>
      <w:r w:rsidRPr="00EE2158">
        <w:rPr>
          <w:rStyle w:val="Odkaznapoznmkupodiarou"/>
          <w:sz w:val="18"/>
          <w:szCs w:val="18"/>
        </w:rPr>
        <w:footnoteRef/>
      </w:r>
      <w:r w:rsidRPr="00EE2158">
        <w:rPr>
          <w:sz w:val="18"/>
          <w:szCs w:val="18"/>
        </w:rPr>
        <w:tab/>
        <w:t>Európa 2020 – Stratégia na zabezpečenie inteligentného, udržateľného a inkluzívneho rastu, KOM(2010) 2020.</w:t>
      </w:r>
    </w:p>
  </w:footnote>
  <w:footnote w:id="3">
    <w:p w:rsidR="00700543" w:rsidRPr="00EE2158" w:rsidRDefault="00700543" w:rsidP="00700543">
      <w:pPr>
        <w:pStyle w:val="Textpoznmkypodiarou"/>
        <w:rPr>
          <w:sz w:val="18"/>
          <w:szCs w:val="18"/>
        </w:rPr>
      </w:pPr>
      <w:r w:rsidRPr="00EE2158">
        <w:rPr>
          <w:rStyle w:val="Odkaznapoznmkupodiarou"/>
          <w:sz w:val="18"/>
          <w:szCs w:val="18"/>
        </w:rPr>
        <w:footnoteRef/>
      </w:r>
      <w:r w:rsidRPr="00EE2158">
        <w:rPr>
          <w:sz w:val="18"/>
          <w:szCs w:val="18"/>
        </w:rPr>
        <w:t xml:space="preserve"> </w:t>
      </w:r>
      <w:r w:rsidRPr="00EE2158">
        <w:rPr>
          <w:sz w:val="18"/>
          <w:szCs w:val="18"/>
        </w:rPr>
        <w:tab/>
        <w:t>Podrobné informácie pozri v bodoch 56 až 60 usmernení o širokopásmových sieťach.</w:t>
      </w:r>
    </w:p>
  </w:footnote>
  <w:footnote w:id="4">
    <w:p w:rsidR="00700543" w:rsidRDefault="00700543" w:rsidP="00700543">
      <w:pPr>
        <w:pStyle w:val="Textpoznmkypodiarou"/>
      </w:pPr>
      <w:r w:rsidRPr="00EE2158">
        <w:rPr>
          <w:rStyle w:val="Odkaznapoznmkupodiarou"/>
          <w:sz w:val="18"/>
          <w:szCs w:val="18"/>
        </w:rPr>
        <w:footnoteRef/>
      </w:r>
      <w:r w:rsidRPr="00EE2158">
        <w:rPr>
          <w:sz w:val="18"/>
          <w:szCs w:val="18"/>
        </w:rPr>
        <w:t xml:space="preserve"> </w:t>
      </w:r>
      <w:r w:rsidRPr="00EE2158">
        <w:rPr>
          <w:sz w:val="18"/>
          <w:szCs w:val="18"/>
        </w:rPr>
        <w:tab/>
        <w:t>Podrobné informácie pozri v bodoch 82 až 85 usmernení o širokopásmových sieťach.</w:t>
      </w:r>
    </w:p>
  </w:footnote>
  <w:footnote w:id="5">
    <w:p w:rsidR="00700543" w:rsidRDefault="00700543" w:rsidP="0070054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>Pozri, napríklad, príručku Komisie o investíciách do vysokorýchlostných širokopásmových sietí (</w:t>
      </w:r>
      <w:hyperlink r:id="rId1">
        <w:r>
          <w:rPr>
            <w:rStyle w:val="Hypertextovprepojenie"/>
          </w:rPr>
          <w:t>http://ec.europa.eu/regional_policy/sources/docgener/presenta/broadband2011/broadband2011_en.pdf</w:t>
        </w:r>
      </w:hyperlink>
      <w:r>
        <w:t>).</w:t>
      </w:r>
    </w:p>
  </w:footnote>
  <w:footnote w:id="6">
    <w:p w:rsidR="00700543" w:rsidRPr="00FE3D0C" w:rsidRDefault="00700543" w:rsidP="0070054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>Smernica Európskeho parlamentu a Rady 2014/23/EÚ z 26. februára 2014 o udeľovaní koncesií (Ú. v. EÚ L 94, 28.3.2014, s. 1), smernica Európskeho parlamentu a Rady 2014/24/EÚ z 26. februára 2014 o verejnom obstarávaní a o zrušení smernice 2004/18/ES (Ú. v. L 94, 28.3.2014, s. 65) a smernica Európskeho parlamentu a Rady 2014/25/EÚ z 26. februára 2014 o obstarávaní vykonávanom subjektmi pôsobiacimi v odvetviach vodného hospodárstva, energetiky, dopravy a poštových služieb a o zrušení smernice 2004/17/ES (Ú. v. L 94, 28.3.2014, s. 243).</w:t>
      </w:r>
    </w:p>
  </w:footnote>
  <w:footnote w:id="7">
    <w:p w:rsidR="00700543" w:rsidRDefault="00700543" w:rsidP="0070054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>Napríklad vybratý investičný a obchodný model, veľkosť a charakteristika geografických oblastí zásahu alebo opatrenia na riedenie projektových nákladov.</w:t>
      </w:r>
    </w:p>
  </w:footnote>
  <w:footnote w:id="8">
    <w:p w:rsidR="00700543" w:rsidRPr="00FE3D0C" w:rsidRDefault="00700543" w:rsidP="0070054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rPr>
          <w:sz w:val="18"/>
        </w:rPr>
        <w:t>Zoznam</w:t>
      </w:r>
      <w:r>
        <w:t xml:space="preserve"> rozhodnutí Komisie o štátnej pomoci pre širokopásmové siete je dostupný na domovskej stránke GR pre hospodársku súťaž: </w:t>
      </w:r>
      <w:hyperlink r:id="rId2">
        <w:r>
          <w:rPr>
            <w:rStyle w:val="Hypertextovprepojenie"/>
          </w:rPr>
          <w:t>http://ec.europa.eu/competition/sectors/telecommunications/broadband_decisions.pdf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DA6"/>
    <w:multiLevelType w:val="multilevel"/>
    <w:tmpl w:val="52B6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89558A"/>
    <w:multiLevelType w:val="multilevel"/>
    <w:tmpl w:val="954037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3BCF46C4"/>
    <w:multiLevelType w:val="multilevel"/>
    <w:tmpl w:val="5F6E82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none"/>
      <w:lvlText w:val="2.1.1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507275D9"/>
    <w:multiLevelType w:val="hybridMultilevel"/>
    <w:tmpl w:val="4C1AFE6E"/>
    <w:lvl w:ilvl="0" w:tplc="51B4DB46">
      <w:start w:val="1"/>
      <w:numFmt w:val="bullet"/>
      <w:lvlText w:val=""/>
      <w:lvlJc w:val="left"/>
      <w:pPr>
        <w:ind w:left="1920" w:hanging="360"/>
      </w:pPr>
      <w:rPr>
        <w:rFonts w:ascii="Symbol" w:hAnsi="Symbol" w:hint="default"/>
      </w:rPr>
    </w:lvl>
    <w:lvl w:ilvl="1" w:tplc="7AEE694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0543"/>
    <w:rsid w:val="000E503C"/>
    <w:rsid w:val="003E554E"/>
    <w:rsid w:val="004659DC"/>
    <w:rsid w:val="004A3893"/>
    <w:rsid w:val="00695E50"/>
    <w:rsid w:val="00700543"/>
    <w:rsid w:val="008A548A"/>
    <w:rsid w:val="00A4021A"/>
    <w:rsid w:val="00B6141C"/>
    <w:rsid w:val="00F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D13967-2764-4F30-8D14-85BEF38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700543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700543"/>
    <w:pPr>
      <w:spacing w:after="160" w:line="240" w:lineRule="exact"/>
    </w:pPr>
    <w:rPr>
      <w:sz w:val="20"/>
      <w:szCs w:val="20"/>
      <w:vertAlign w:val="superscript"/>
      <w:lang w:eastAsia="en-GB"/>
    </w:rPr>
  </w:style>
  <w:style w:type="character" w:styleId="Hypertextovprepojenie">
    <w:name w:val="Hyperlink"/>
    <w:uiPriority w:val="99"/>
    <w:rsid w:val="00700543"/>
    <w:rPr>
      <w:color w:val="0000FF"/>
      <w:u w:val="single"/>
    </w:rPr>
  </w:style>
  <w:style w:type="table" w:styleId="Mriekatabuky">
    <w:name w:val="Table Grid"/>
    <w:basedOn w:val="Normlnatabuka"/>
    <w:uiPriority w:val="59"/>
    <w:rsid w:val="00700543"/>
    <w:rPr>
      <w:rFonts w:ascii="Times New Roman" w:hAnsi="Times New Roman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005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0054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0054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005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competition/sectors/telecommunications/broadband_decisions.pdf" TargetMode="External"/><Relationship Id="rId1" Type="http://schemas.openxmlformats.org/officeDocument/2006/relationships/hyperlink" Target="http://ec.europa.eu/regional_policy/sources/docgener/presenta/broadband2011/broadband2011_en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8557</Characters>
  <Application>Microsoft Office Word</Application>
  <DocSecurity>4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10038</CharactersWithSpaces>
  <SharedDoc>false</SharedDoc>
  <HLinks>
    <vt:vector size="12" baseType="variant">
      <vt:variant>
        <vt:i4>3604509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http://ec.europa.eu/competition/sectors/telecommunications/broadband_decisions.pdf</vt:lpwstr>
      </vt:variant>
      <vt:variant>
        <vt:lpwstr/>
      </vt:variant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http://ec.europa.eu/regional_policy/sources/docgener/presenta/broadband2011/broadband2011_en.pdf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Richard Gazda</cp:lastModifiedBy>
  <cp:revision>2</cp:revision>
  <dcterms:created xsi:type="dcterms:W3CDTF">2016-04-12T12:55:00Z</dcterms:created>
  <dcterms:modified xsi:type="dcterms:W3CDTF">2016-04-12T12:55:00Z</dcterms:modified>
</cp:coreProperties>
</file>