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E9416A" w:rsidRPr="00E9416A" w:rsidTr="00DB370D">
        <w:tc>
          <w:tcPr>
            <w:tcW w:w="9214" w:type="dxa"/>
            <w:tcBorders>
              <w:top w:val="single" w:sz="4" w:space="0" w:color="auto"/>
              <w:left w:val="single" w:sz="4" w:space="0" w:color="auto"/>
              <w:bottom w:val="single" w:sz="4" w:space="0" w:color="auto"/>
              <w:right w:val="single" w:sz="4" w:space="0" w:color="auto"/>
            </w:tcBorders>
            <w:shd w:val="pct15" w:color="auto" w:fill="FFFFFF"/>
          </w:tcPr>
          <w:p w:rsidR="00E9416A" w:rsidRPr="00E9416A" w:rsidRDefault="00E9416A" w:rsidP="00E9416A">
            <w:pPr>
              <w:keepNext/>
              <w:numPr>
                <w:ilvl w:val="1"/>
                <w:numId w:val="0"/>
              </w:numPr>
              <w:tabs>
                <w:tab w:val="num" w:pos="850"/>
              </w:tabs>
              <w:spacing w:before="240" w:after="240" w:line="240" w:lineRule="auto"/>
              <w:ind w:left="850" w:hanging="850"/>
              <w:jc w:val="both"/>
              <w:outlineLvl w:val="1"/>
              <w:rPr>
                <w:rFonts w:ascii="Times New Roman" w:eastAsia="Times New Roman" w:hAnsi="Times New Roman"/>
                <w:b/>
                <w:bCs/>
                <w:sz w:val="24"/>
                <w:szCs w:val="26"/>
                <w:lang w:val="sk-SK"/>
              </w:rPr>
            </w:pPr>
            <w:bookmarkStart w:id="0" w:name="_Toc414370360"/>
            <w:bookmarkStart w:id="1" w:name="_Toc416949012"/>
            <w:bookmarkStart w:id="2" w:name="_GoBack"/>
            <w:bookmarkEnd w:id="2"/>
            <w:r w:rsidRPr="00E9416A">
              <w:rPr>
                <w:rFonts w:ascii="Times New Roman" w:eastAsia="Times New Roman" w:hAnsi="Times New Roman"/>
                <w:b/>
                <w:bCs/>
                <w:sz w:val="24"/>
                <w:szCs w:val="26"/>
                <w:lang w:val="sk-SK"/>
              </w:rPr>
              <w:t>Časť III.3.B – Formulár doplňujúcich informácií o pomoci na reštrukturalizáciu nefinančných podnikov v ťažkostiach: individuálna pomoc</w:t>
            </w:r>
            <w:bookmarkEnd w:id="0"/>
            <w:bookmarkEnd w:id="1"/>
          </w:p>
        </w:tc>
      </w:tr>
    </w:tbl>
    <w:p w:rsidR="00E9416A" w:rsidRPr="00E9416A" w:rsidRDefault="00E9416A" w:rsidP="00E9416A">
      <w:pPr>
        <w:widowControl w:val="0"/>
        <w:spacing w:after="120" w:line="240" w:lineRule="auto"/>
        <w:ind w:right="23"/>
        <w:jc w:val="both"/>
        <w:rPr>
          <w:color w:val="000000"/>
          <w:sz w:val="24"/>
          <w:szCs w:val="24"/>
          <w:lang w:val="sk-SK"/>
        </w:rPr>
      </w:pPr>
    </w:p>
    <w:p w:rsidR="00E9416A" w:rsidRPr="00E9416A" w:rsidRDefault="00E9416A" w:rsidP="00E9416A">
      <w:pPr>
        <w:widowControl w:val="0"/>
        <w:spacing w:after="120" w:line="240" w:lineRule="auto"/>
        <w:ind w:right="23"/>
        <w:jc w:val="both"/>
        <w:rPr>
          <w:i/>
          <w:iCs/>
          <w:color w:val="000000"/>
          <w:sz w:val="24"/>
          <w:szCs w:val="15"/>
          <w:lang w:val="sk-SK"/>
        </w:rPr>
      </w:pPr>
      <w:r w:rsidRPr="00E9416A">
        <w:rPr>
          <w:i/>
          <w:iCs/>
          <w:color w:val="000000"/>
          <w:sz w:val="24"/>
          <w:szCs w:val="15"/>
          <w:lang w:val="sk-SK"/>
        </w:rPr>
        <w:t>Tento formulár doplňujúcich informácií musí byť vyplnený na oznámenie individuálnej pomoci na reštrukturalizáciu, na ktorú sa vzťahujú Usmernenia o štátnej pomoci na záchranu a reštrukturalizáciu nefinančných podnikov v ťažkostiach</w:t>
      </w:r>
      <w:r w:rsidRPr="00E9416A">
        <w:rPr>
          <w:i/>
          <w:iCs/>
          <w:color w:val="000000"/>
          <w:sz w:val="24"/>
          <w:szCs w:val="15"/>
          <w:vertAlign w:val="superscript"/>
          <w:lang w:val="en-US"/>
        </w:rPr>
        <w:footnoteReference w:id="1"/>
      </w:r>
      <w:r w:rsidRPr="00E9416A">
        <w:rPr>
          <w:i/>
          <w:iCs/>
          <w:color w:val="000000"/>
          <w:sz w:val="24"/>
          <w:szCs w:val="15"/>
          <w:lang w:val="sk-SK"/>
        </w:rPr>
        <w:t xml:space="preserve"> (ďalej len „usmernenia“).</w:t>
      </w:r>
    </w:p>
    <w:p w:rsidR="00E9416A" w:rsidRPr="00E9416A" w:rsidRDefault="00E9416A" w:rsidP="00E9416A">
      <w:pPr>
        <w:widowControl w:val="0"/>
        <w:spacing w:after="120" w:line="240" w:lineRule="auto"/>
        <w:ind w:right="23"/>
        <w:jc w:val="both"/>
        <w:rPr>
          <w:i/>
          <w:iCs/>
          <w:sz w:val="24"/>
          <w:szCs w:val="24"/>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E9416A" w:rsidRPr="00E9416A" w:rsidTr="00DB370D">
        <w:tc>
          <w:tcPr>
            <w:tcW w:w="9214" w:type="dxa"/>
            <w:tcBorders>
              <w:top w:val="single" w:sz="4" w:space="0" w:color="auto"/>
              <w:left w:val="single" w:sz="4" w:space="0" w:color="auto"/>
              <w:bottom w:val="single" w:sz="4" w:space="0" w:color="auto"/>
              <w:right w:val="single" w:sz="4" w:space="0" w:color="auto"/>
            </w:tcBorders>
            <w:shd w:val="pct15" w:color="auto" w:fill="FFFFFF"/>
          </w:tcPr>
          <w:p w:rsidR="00E9416A" w:rsidRPr="00E9416A" w:rsidRDefault="00E9416A" w:rsidP="00E9416A">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E9416A">
              <w:rPr>
                <w:rFonts w:ascii="Times New Roman" w:eastAsia="Times New Roman" w:hAnsi="Times New Roman"/>
                <w:bCs/>
                <w:iCs/>
                <w:sz w:val="24"/>
                <w:lang w:val="sk-SK"/>
              </w:rPr>
              <w:br w:type="page"/>
            </w:r>
            <w:r w:rsidRPr="00E9416A">
              <w:rPr>
                <w:rFonts w:ascii="Times New Roman" w:eastAsia="Times New Roman" w:hAnsi="Times New Roman"/>
                <w:bCs/>
                <w:iCs/>
                <w:sz w:val="24"/>
                <w:lang w:val="sk-SK"/>
              </w:rPr>
              <w:br w:type="page"/>
              <w:t>Oprávnenosť</w:t>
            </w:r>
          </w:p>
        </w:tc>
      </w:tr>
    </w:tbl>
    <w:p w:rsidR="00E9416A" w:rsidRPr="00E9416A" w:rsidRDefault="00E9416A" w:rsidP="00E9416A">
      <w:pPr>
        <w:widowControl w:val="0"/>
        <w:spacing w:before="120" w:after="120" w:line="240" w:lineRule="auto"/>
        <w:jc w:val="both"/>
        <w:rPr>
          <w:b/>
          <w:bCs/>
          <w:sz w:val="24"/>
          <w:szCs w:val="16"/>
          <w:lang w:val="en-US"/>
        </w:rPr>
      </w:pPr>
      <w:r w:rsidRPr="00E9416A">
        <w:rPr>
          <w:b/>
          <w:bCs/>
          <w:sz w:val="24"/>
          <w:szCs w:val="16"/>
          <w:lang w:val="en-US"/>
        </w:rPr>
        <w:t xml:space="preserve">1.1 </w:t>
      </w:r>
      <w:r w:rsidRPr="00E9416A">
        <w:rPr>
          <w:b/>
          <w:bCs/>
          <w:sz w:val="16"/>
          <w:szCs w:val="16"/>
          <w:lang w:val="en-US"/>
        </w:rPr>
        <w:tab/>
      </w:r>
      <w:r w:rsidRPr="00E9416A">
        <w:rPr>
          <w:b/>
          <w:bCs/>
          <w:sz w:val="24"/>
          <w:szCs w:val="16"/>
          <w:lang w:val="en-US"/>
        </w:rPr>
        <w:t>Podnik v ťažkostiach:</w:t>
      </w:r>
    </w:p>
    <w:p w:rsidR="00E9416A" w:rsidRPr="00E9416A" w:rsidRDefault="00E9416A" w:rsidP="00E9416A">
      <w:pPr>
        <w:numPr>
          <w:ilvl w:val="0"/>
          <w:numId w:val="5"/>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Je podnik spoločnosťou s ručením obmedzeným</w:t>
      </w:r>
      <w:r w:rsidRPr="00E9416A">
        <w:rPr>
          <w:rFonts w:ascii="Times New Roman" w:hAnsi="Times New Roman"/>
          <w:sz w:val="24"/>
          <w:szCs w:val="20"/>
          <w:vertAlign w:val="superscript"/>
          <w:lang w:val="sk-SK" w:eastAsia="sk-SK" w:bidi="sk-SK"/>
        </w:rPr>
        <w:footnoteReference w:id="2"/>
      </w:r>
      <w:r w:rsidRPr="00E9416A">
        <w:rPr>
          <w:rFonts w:ascii="Times New Roman" w:hAnsi="Times New Roman"/>
          <w:sz w:val="24"/>
          <w:szCs w:val="20"/>
          <w:lang w:val="sk-SK" w:eastAsia="sk-SK" w:bidi="sk-SK"/>
        </w:rPr>
        <w:t>, kde sa viac ako polovica upísaného základného imania prekryla akumulovanými stratami</w:t>
      </w:r>
      <w:r w:rsidRPr="00E9416A">
        <w:rPr>
          <w:rFonts w:ascii="Times New Roman" w:hAnsi="Times New Roman"/>
          <w:sz w:val="24"/>
          <w:szCs w:val="20"/>
          <w:vertAlign w:val="superscript"/>
          <w:lang w:val="sk-SK" w:eastAsia="sk-SK" w:bidi="sk-SK"/>
        </w:rPr>
        <w:footnoteReference w:id="3"/>
      </w:r>
      <w:r w:rsidRPr="00E9416A">
        <w:rPr>
          <w:rFonts w:ascii="Times New Roman" w:hAnsi="Times New Roman"/>
          <w:sz w:val="24"/>
          <w:szCs w:val="20"/>
          <w:lang w:val="sk-SK" w:eastAsia="sk-SK" w:bidi="sk-SK"/>
        </w:rPr>
        <w:t>?</w:t>
      </w:r>
    </w:p>
    <w:p w:rsidR="00E9416A" w:rsidRPr="00E9416A" w:rsidRDefault="00E9416A" w:rsidP="00E9416A">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E9416A">
      <w:pPr>
        <w:numPr>
          <w:ilvl w:val="0"/>
          <w:numId w:val="5"/>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Je podnik spoločnosťou, kde aspoň niektorí spoločníci neobmedzene ručia za záväzky spoločnosti</w:t>
      </w:r>
      <w:r w:rsidRPr="00E9416A">
        <w:rPr>
          <w:rFonts w:ascii="Times New Roman" w:hAnsi="Times New Roman"/>
          <w:sz w:val="24"/>
          <w:szCs w:val="20"/>
          <w:vertAlign w:val="superscript"/>
          <w:lang w:val="sk-SK" w:eastAsia="sk-SK" w:bidi="sk-SK"/>
        </w:rPr>
        <w:footnoteReference w:id="4"/>
      </w:r>
      <w:r w:rsidRPr="00E9416A">
        <w:rPr>
          <w:rFonts w:ascii="Times New Roman" w:hAnsi="Times New Roman"/>
          <w:sz w:val="24"/>
          <w:szCs w:val="20"/>
          <w:lang w:val="sk-SK" w:eastAsia="sk-SK" w:bidi="sk-SK"/>
        </w:rPr>
        <w:t xml:space="preserve"> a kde sa viac ako polovica kapitálu vykazovaného v účtoch spoločnosti prekryla akumulovanými stratami?</w:t>
      </w:r>
    </w:p>
    <w:p w:rsidR="00E9416A" w:rsidRPr="00E9416A" w:rsidRDefault="00E9416A" w:rsidP="00E9416A">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E9416A">
      <w:pPr>
        <w:numPr>
          <w:ilvl w:val="0"/>
          <w:numId w:val="5"/>
        </w:numPr>
        <w:tabs>
          <w:tab w:val="left" w:pos="720"/>
          <w:tab w:val="left" w:pos="1077"/>
          <w:tab w:val="left" w:pos="1440"/>
          <w:tab w:val="left" w:pos="1797"/>
        </w:tabs>
        <w:spacing w:before="120" w:after="12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Je podnik predmetom kolektívneho konkurzného konania alebo spĺňa kritériá podľa vnútroštátneho práva na zaradenie do kolektívneho konkurzného konania na žiadosť veriteľov?</w:t>
      </w:r>
    </w:p>
    <w:p w:rsidR="00E9416A" w:rsidRPr="00E9416A" w:rsidRDefault="00E9416A" w:rsidP="00E9416A">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F946FF" w:rsidRDefault="00E9416A" w:rsidP="00F946FF">
      <w:pPr>
        <w:numPr>
          <w:ilvl w:val="0"/>
          <w:numId w:val="5"/>
        </w:numPr>
        <w:tabs>
          <w:tab w:val="left" w:pos="720"/>
          <w:tab w:val="left" w:pos="1077"/>
          <w:tab w:val="left" w:pos="1440"/>
          <w:tab w:val="left" w:pos="1797"/>
        </w:tabs>
        <w:spacing w:before="120" w:after="128" w:line="240" w:lineRule="auto"/>
        <w:ind w:left="357" w:hanging="357"/>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V prípade podniku, ktorý nie je MSP:</w:t>
      </w:r>
    </w:p>
    <w:p w:rsidR="00E9416A" w:rsidRPr="00E9416A" w:rsidRDefault="00E9416A" w:rsidP="00E9416A">
      <w:pPr>
        <w:widowControl w:val="0"/>
        <w:numPr>
          <w:ilvl w:val="0"/>
          <w:numId w:val="6"/>
        </w:numPr>
        <w:shd w:val="clear" w:color="auto" w:fill="FFFFFF"/>
        <w:spacing w:before="300" w:after="128" w:line="240" w:lineRule="auto"/>
        <w:jc w:val="both"/>
        <w:rPr>
          <w:rFonts w:ascii="Times New Roman" w:hAnsi="Times New Roman"/>
          <w:bCs/>
          <w:sz w:val="24"/>
          <w:szCs w:val="16"/>
          <w:lang w:val="sk-SK"/>
        </w:rPr>
      </w:pPr>
      <w:r w:rsidRPr="00E9416A">
        <w:rPr>
          <w:rFonts w:ascii="Times New Roman" w:hAnsi="Times New Roman"/>
          <w:bCs/>
          <w:sz w:val="24"/>
          <w:szCs w:val="16"/>
          <w:lang w:val="sk-SK"/>
        </w:rPr>
        <w:t>bol za posledné dva roky pomer dlhu podniku k vlastnému imaniu vyšší než 7,5</w:t>
      </w:r>
    </w:p>
    <w:p w:rsidR="00E9416A" w:rsidRPr="00E9416A" w:rsidRDefault="00E9416A" w:rsidP="00E9416A">
      <w:pPr>
        <w:widowControl w:val="0"/>
        <w:shd w:val="clear" w:color="auto" w:fill="FFFFFF"/>
        <w:spacing w:before="300" w:after="128" w:line="240" w:lineRule="auto"/>
        <w:ind w:left="20" w:firstLine="1398"/>
        <w:jc w:val="both"/>
        <w:rPr>
          <w:rFonts w:ascii="Times New Roman" w:hAnsi="Times New Roman"/>
          <w:bCs/>
          <w:sz w:val="24"/>
          <w:szCs w:val="24"/>
          <w:lang w:val="en-US"/>
        </w:rPr>
      </w:pPr>
      <w:r w:rsidRPr="00E9416A">
        <w:rPr>
          <w:rFonts w:ascii="Times New Roman" w:hAnsi="Times New Roman"/>
          <w:bCs/>
          <w:sz w:val="24"/>
          <w:szCs w:val="16"/>
          <w:lang w:val="en-US"/>
        </w:rPr>
        <w:t>a</w:t>
      </w:r>
    </w:p>
    <w:p w:rsidR="00E9416A" w:rsidRPr="00E9416A" w:rsidRDefault="00E9416A" w:rsidP="00E9416A">
      <w:pPr>
        <w:keepLines/>
        <w:widowControl w:val="0"/>
        <w:numPr>
          <w:ilvl w:val="0"/>
          <w:numId w:val="6"/>
        </w:numPr>
        <w:shd w:val="clear" w:color="auto" w:fill="FFFFFF"/>
        <w:spacing w:before="300" w:after="128" w:line="240" w:lineRule="auto"/>
        <w:jc w:val="both"/>
        <w:rPr>
          <w:rFonts w:ascii="Times New Roman" w:hAnsi="Times New Roman"/>
          <w:bCs/>
          <w:sz w:val="24"/>
          <w:szCs w:val="24"/>
          <w:lang w:val="en-US"/>
        </w:rPr>
      </w:pPr>
      <w:r w:rsidRPr="00E9416A">
        <w:rPr>
          <w:rFonts w:ascii="Times New Roman" w:hAnsi="Times New Roman"/>
          <w:bCs/>
          <w:sz w:val="24"/>
          <w:szCs w:val="16"/>
          <w:lang w:val="en-US"/>
        </w:rPr>
        <w:lastRenderedPageBreak/>
        <w:t>bol za posledné dva roky pomer zisku podniku pred úrokmi, zdanením a odpismi (EBITDA) k úrokovému krytiu nižší ako 1,0?</w:t>
      </w:r>
    </w:p>
    <w:p w:rsidR="00E9416A" w:rsidRPr="00E9416A" w:rsidRDefault="00E9416A" w:rsidP="00E9416A">
      <w:pPr>
        <w:keepLines/>
        <w:widowControl w:val="0"/>
        <w:shd w:val="clear" w:color="auto" w:fill="FFFFFF"/>
        <w:spacing w:before="120" w:after="120" w:line="240" w:lineRule="auto"/>
        <w:ind w:left="20" w:firstLine="700"/>
        <w:jc w:val="both"/>
        <w:rPr>
          <w:rFonts w:ascii="Times New Roman" w:hAnsi="Times New Roman"/>
          <w:bCs/>
          <w:sz w:val="24"/>
          <w:szCs w:val="16"/>
          <w:lang w:val="en-US"/>
        </w:rPr>
      </w:pPr>
    </w:p>
    <w:p w:rsidR="00E9416A" w:rsidRPr="00E9416A" w:rsidRDefault="00E9416A" w:rsidP="00E9416A">
      <w:pPr>
        <w:keepLines/>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E9416A">
      <w:pPr>
        <w:numPr>
          <w:ilvl w:val="0"/>
          <w:numId w:val="5"/>
        </w:numPr>
        <w:spacing w:before="120" w:after="12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Ak ste na ktorúkoľvek z otázok v písmenách A až D odpovedali áno, zdôvodnite odpoveď vrátane uvedenia odkazov na podporné dôkazy alebo doplňujúce dokumenty poskytnuté v prílohe (najnovšie výkazy ziskov a strát so súvahami alebo rozhodnutie súdu o začatí kolektívneho konkurzného konania voči spoločnosti alebo dôkaz, že sú splnené kritériá na zaradenie do konkurzného konania na žiadosť veriteľov podľa vnútroštátneho práva obchodných spoločností atď.).</w:t>
      </w:r>
    </w:p>
    <w:p w:rsidR="00E9416A" w:rsidRPr="00E9416A" w:rsidRDefault="00E9416A" w:rsidP="00E9416A">
      <w:pPr>
        <w:widowControl w:val="0"/>
        <w:spacing w:before="120" w:after="120" w:line="240" w:lineRule="auto"/>
        <w:jc w:val="both"/>
        <w:rPr>
          <w:b/>
          <w:bCs/>
          <w:sz w:val="24"/>
          <w:szCs w:val="24"/>
          <w:lang w:val="sk-SK"/>
        </w:rPr>
      </w:pPr>
      <w:r w:rsidRPr="00E9416A">
        <w:rPr>
          <w:b/>
          <w:bCs/>
          <w:sz w:val="24"/>
          <w:szCs w:val="16"/>
          <w:lang w:val="sk-SK"/>
        </w:rPr>
        <w:t xml:space="preserve">1.2. </w:t>
      </w:r>
      <w:r w:rsidRPr="00E9416A">
        <w:rPr>
          <w:b/>
          <w:bCs/>
          <w:sz w:val="16"/>
          <w:szCs w:val="16"/>
          <w:lang w:val="sk-SK"/>
        </w:rPr>
        <w:tab/>
      </w:r>
      <w:r w:rsidRPr="00E9416A">
        <w:rPr>
          <w:b/>
          <w:bCs/>
          <w:sz w:val="24"/>
          <w:szCs w:val="16"/>
          <w:lang w:val="sk-SK"/>
        </w:rPr>
        <w:t>Novovytvorený podnik alebo väčšia podnikateľská skupina:</w:t>
      </w:r>
    </w:p>
    <w:p w:rsidR="00E9416A" w:rsidRPr="00E9416A" w:rsidRDefault="00E9416A" w:rsidP="00F946FF">
      <w:pPr>
        <w:numPr>
          <w:ilvl w:val="0"/>
          <w:numId w:val="4"/>
        </w:numPr>
        <w:tabs>
          <w:tab w:val="left" w:pos="709"/>
          <w:tab w:val="left" w:leader="dot" w:pos="9072"/>
        </w:tabs>
        <w:spacing w:before="120" w:after="12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Kedy bol podnik založený?</w:t>
      </w:r>
      <w:r w:rsidRPr="00E9416A">
        <w:rPr>
          <w:rFonts w:ascii="Times New Roman" w:hAnsi="Times New Roman"/>
          <w:sz w:val="24"/>
          <w:szCs w:val="20"/>
          <w:lang w:val="sk-SK" w:eastAsia="sk-SK" w:bidi="sk-SK"/>
        </w:rPr>
        <w:tab/>
      </w:r>
    </w:p>
    <w:p w:rsidR="00E9416A" w:rsidRPr="00E9416A" w:rsidRDefault="00E9416A" w:rsidP="00F946FF">
      <w:pPr>
        <w:numPr>
          <w:ilvl w:val="0"/>
          <w:numId w:val="4"/>
        </w:numPr>
        <w:tabs>
          <w:tab w:val="left" w:pos="709"/>
          <w:tab w:val="left" w:leader="dot" w:pos="9072"/>
        </w:tabs>
        <w:spacing w:before="120" w:after="12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Odkedy je podnik v prevádzke?</w:t>
      </w:r>
      <w:r w:rsidRPr="00E9416A">
        <w:rPr>
          <w:rFonts w:ascii="Times New Roman" w:hAnsi="Times New Roman"/>
          <w:sz w:val="24"/>
          <w:szCs w:val="20"/>
          <w:lang w:val="sk-SK" w:eastAsia="sk-SK" w:bidi="sk-SK"/>
        </w:rPr>
        <w:tab/>
      </w:r>
    </w:p>
    <w:p w:rsidR="00E9416A" w:rsidRPr="00E9416A" w:rsidRDefault="00E9416A" w:rsidP="00E9416A">
      <w:pPr>
        <w:numPr>
          <w:ilvl w:val="0"/>
          <w:numId w:val="4"/>
        </w:numPr>
        <w:spacing w:before="120" w:after="12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Patrí spoločnosť do väčšej podnikateľskej skupiny?</w:t>
      </w:r>
    </w:p>
    <w:p w:rsidR="00E9416A" w:rsidRPr="00E9416A" w:rsidRDefault="00E9416A" w:rsidP="00E9416A">
      <w:pPr>
        <w:spacing w:before="120" w:after="120" w:line="240" w:lineRule="auto"/>
        <w:ind w:left="1985"/>
        <w:jc w:val="both"/>
        <w:rPr>
          <w:rFonts w:ascii="Times New Roman" w:hAnsi="Times New Roman"/>
          <w:color w:val="000000"/>
          <w:sz w:val="15"/>
          <w:szCs w:val="24"/>
          <w:shd w:val="clear" w:color="auto" w:fill="FFFFFF"/>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E9416A">
      <w:pPr>
        <w:numPr>
          <w:ilvl w:val="0"/>
          <w:numId w:val="4"/>
        </w:numPr>
        <w:spacing w:before="120" w:after="12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Ak je odpoveď na túto otázku áno, predložte úplné podrobné informácie o skupine (organizačnú štruktúru, ktorá znázorňuje prepojenia medzi členmi skupiny, spolu s podrobnými údajmi o kapitále a hlasovacích právach) a preukážte, že ťažkosti spoločnosti sú jej vlastné a nevznikli v dôsledku svojvoľného rozdelenia nákladov v rámci skupiny a že ťažkosti sú príliš vážne na to, aby ich mohla riešiť len samotná skupina vyriešila.</w:t>
      </w:r>
    </w:p>
    <w:p w:rsidR="00E9416A" w:rsidRPr="00E9416A" w:rsidRDefault="00E9416A" w:rsidP="00E9416A">
      <w:pPr>
        <w:widowControl w:val="0"/>
        <w:spacing w:before="120" w:after="120" w:line="240" w:lineRule="auto"/>
        <w:jc w:val="both"/>
        <w:rPr>
          <w:b/>
          <w:bCs/>
          <w:sz w:val="24"/>
          <w:szCs w:val="24"/>
          <w:lang w:val="sk-SK"/>
        </w:rPr>
      </w:pPr>
      <w:r w:rsidRPr="00E9416A">
        <w:rPr>
          <w:b/>
          <w:bCs/>
          <w:sz w:val="24"/>
          <w:szCs w:val="16"/>
          <w:lang w:val="sk-SK"/>
        </w:rPr>
        <w:t xml:space="preserve">1.3. </w:t>
      </w:r>
      <w:r w:rsidRPr="00E9416A">
        <w:rPr>
          <w:b/>
          <w:bCs/>
          <w:sz w:val="16"/>
          <w:szCs w:val="16"/>
          <w:lang w:val="sk-SK"/>
        </w:rPr>
        <w:tab/>
      </w:r>
      <w:r w:rsidRPr="00E9416A">
        <w:rPr>
          <w:b/>
          <w:bCs/>
          <w:sz w:val="24"/>
          <w:szCs w:val="16"/>
          <w:lang w:val="sk-SK"/>
        </w:rPr>
        <w:t>Rozsah pôsobností v rámci odvetví</w:t>
      </w:r>
    </w:p>
    <w:p w:rsidR="00E9416A" w:rsidRPr="00E9416A" w:rsidRDefault="00E9416A" w:rsidP="00E9416A">
      <w:pPr>
        <w:widowControl w:val="0"/>
        <w:tabs>
          <w:tab w:val="left" w:pos="610"/>
        </w:tabs>
        <w:spacing w:before="120" w:after="120" w:line="240" w:lineRule="auto"/>
        <w:jc w:val="both"/>
        <w:rPr>
          <w:bCs/>
          <w:sz w:val="24"/>
          <w:szCs w:val="24"/>
          <w:lang w:val="sk-SK"/>
        </w:rPr>
      </w:pPr>
      <w:r w:rsidRPr="00E9416A">
        <w:rPr>
          <w:b/>
          <w:bCs/>
          <w:sz w:val="16"/>
          <w:szCs w:val="16"/>
          <w:lang w:val="sk-SK"/>
        </w:rPr>
        <w:tab/>
      </w:r>
      <w:r w:rsidRPr="00E9416A">
        <w:rPr>
          <w:bCs/>
          <w:sz w:val="24"/>
          <w:szCs w:val="16"/>
          <w:lang w:val="sk-SK"/>
        </w:rPr>
        <w:t>Pôsobí podnik v:</w:t>
      </w:r>
    </w:p>
    <w:p w:rsidR="00E9416A" w:rsidRPr="00E9416A" w:rsidRDefault="00E9416A" w:rsidP="00E9416A">
      <w:pPr>
        <w:numPr>
          <w:ilvl w:val="0"/>
          <w:numId w:val="3"/>
        </w:numPr>
        <w:spacing w:before="120" w:after="12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uhoľnom odvetví</w:t>
      </w:r>
      <w:r w:rsidRPr="00E9416A">
        <w:rPr>
          <w:rFonts w:ascii="Times New Roman" w:hAnsi="Times New Roman"/>
          <w:sz w:val="24"/>
          <w:szCs w:val="20"/>
          <w:vertAlign w:val="superscript"/>
          <w:lang w:val="sk-SK" w:eastAsia="sk-SK" w:bidi="sk-SK"/>
        </w:rPr>
        <w:footnoteReference w:id="5"/>
      </w:r>
      <w:r w:rsidRPr="00E9416A">
        <w:rPr>
          <w:rFonts w:ascii="Times New Roman" w:hAnsi="Times New Roman"/>
          <w:sz w:val="24"/>
          <w:szCs w:val="20"/>
          <w:lang w:val="sk-SK" w:eastAsia="sk-SK" w:bidi="sk-SK"/>
        </w:rPr>
        <w:t>:</w:t>
      </w:r>
      <w:r w:rsidRPr="00E9416A">
        <w:rPr>
          <w:rFonts w:ascii="Times New Roman" w:hAnsi="Times New Roman"/>
          <w:sz w:val="24"/>
          <w:szCs w:val="20"/>
          <w:lang w:val="sk-SK" w:eastAsia="sk-SK" w:bidi="sk-SK"/>
        </w:rPr>
        <w:tab/>
      </w:r>
      <w:r w:rsidRPr="00E9416A">
        <w:rPr>
          <w:rFonts w:ascii="Times New Roman" w:hAnsi="Times New Roman"/>
          <w:sz w:val="24"/>
          <w:szCs w:val="20"/>
          <w:lang w:val="sk-SK" w:eastAsia="sk-SK" w:bidi="sk-SK"/>
        </w:rPr>
        <w:tab/>
      </w:r>
      <w:r w:rsidRPr="00E9416A">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E9416A">
        <w:rPr>
          <w:rFonts w:ascii="Times New Roman" w:hAnsi="Times New Roman"/>
          <w:sz w:val="24"/>
          <w:szCs w:val="20"/>
          <w:lang w:val="sk-SK" w:eastAsia="sk-SK" w:bidi="sk-SK"/>
        </w:rPr>
        <w:instrText xml:space="preserve"> FORMCHECKBOX </w:instrText>
      </w:r>
      <w:r w:rsidRPr="00E9416A">
        <w:rPr>
          <w:rFonts w:ascii="Times New Roman" w:hAnsi="Times New Roman"/>
          <w:sz w:val="24"/>
          <w:szCs w:val="20"/>
          <w:lang w:val="sk-SK" w:eastAsia="sk-SK" w:bidi="sk-SK"/>
        </w:rPr>
      </w:r>
      <w:r w:rsidRPr="00E9416A">
        <w:rPr>
          <w:rFonts w:ascii="Times New Roman" w:hAnsi="Times New Roman"/>
          <w:sz w:val="24"/>
          <w:szCs w:val="20"/>
          <w:lang w:val="sk-SK" w:eastAsia="sk-SK" w:bidi="sk-SK"/>
        </w:rPr>
        <w:fldChar w:fldCharType="separate"/>
      </w:r>
      <w:r w:rsidRPr="00E9416A">
        <w:rPr>
          <w:rFonts w:ascii="Times New Roman" w:hAnsi="Times New Roman"/>
          <w:sz w:val="24"/>
          <w:szCs w:val="20"/>
          <w:lang w:val="sk-SK" w:eastAsia="sk-SK" w:bidi="sk-SK"/>
        </w:rPr>
        <w:fldChar w:fldCharType="end"/>
      </w:r>
      <w:r w:rsidRPr="00E9416A">
        <w:rPr>
          <w:rFonts w:ascii="Times New Roman" w:hAnsi="Times New Roman"/>
          <w:sz w:val="24"/>
          <w:szCs w:val="20"/>
          <w:lang w:val="sk-SK" w:eastAsia="sk-SK" w:bidi="sk-SK"/>
        </w:rPr>
        <w:tab/>
        <w:t xml:space="preserve">áno </w:t>
      </w:r>
      <w:r w:rsidRPr="00E9416A">
        <w:rPr>
          <w:rFonts w:ascii="Times New Roman" w:hAnsi="Times New Roman"/>
          <w:sz w:val="24"/>
          <w:szCs w:val="20"/>
          <w:lang w:val="sk-SK" w:eastAsia="sk-SK" w:bidi="sk-SK"/>
        </w:rPr>
        <w:tab/>
      </w:r>
      <w:r w:rsidRPr="00E9416A">
        <w:rPr>
          <w:rFonts w:ascii="Times New Roman" w:hAnsi="Times New Roman"/>
          <w:sz w:val="24"/>
          <w:szCs w:val="20"/>
          <w:lang w:val="sk-SK" w:eastAsia="sk-SK" w:bidi="sk-SK"/>
        </w:rPr>
        <w:tab/>
        <w:t xml:space="preserve"> </w:t>
      </w:r>
      <w:r w:rsidRPr="00E9416A">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E9416A">
        <w:rPr>
          <w:rFonts w:ascii="Times New Roman" w:hAnsi="Times New Roman"/>
          <w:sz w:val="24"/>
          <w:szCs w:val="20"/>
          <w:lang w:val="sk-SK" w:eastAsia="sk-SK" w:bidi="sk-SK"/>
        </w:rPr>
        <w:instrText xml:space="preserve"> FORMCHECKBOX </w:instrText>
      </w:r>
      <w:r w:rsidRPr="00E9416A">
        <w:rPr>
          <w:rFonts w:ascii="Times New Roman" w:hAnsi="Times New Roman"/>
          <w:sz w:val="24"/>
          <w:szCs w:val="20"/>
          <w:lang w:val="sk-SK" w:eastAsia="sk-SK" w:bidi="sk-SK"/>
        </w:rPr>
      </w:r>
      <w:r w:rsidRPr="00E9416A">
        <w:rPr>
          <w:rFonts w:ascii="Times New Roman" w:hAnsi="Times New Roman"/>
          <w:sz w:val="24"/>
          <w:szCs w:val="20"/>
          <w:lang w:val="sk-SK" w:eastAsia="sk-SK" w:bidi="sk-SK"/>
        </w:rPr>
        <w:fldChar w:fldCharType="separate"/>
      </w:r>
      <w:r w:rsidRPr="00E9416A">
        <w:rPr>
          <w:rFonts w:ascii="Times New Roman" w:hAnsi="Times New Roman"/>
          <w:sz w:val="24"/>
          <w:szCs w:val="20"/>
          <w:lang w:val="sk-SK" w:eastAsia="sk-SK" w:bidi="sk-SK"/>
        </w:rPr>
        <w:fldChar w:fldCharType="end"/>
      </w:r>
      <w:r w:rsidRPr="00E9416A">
        <w:rPr>
          <w:rFonts w:ascii="Times New Roman" w:hAnsi="Times New Roman"/>
          <w:sz w:val="24"/>
          <w:szCs w:val="20"/>
          <w:lang w:val="sk-SK" w:eastAsia="sk-SK" w:bidi="sk-SK"/>
        </w:rPr>
        <w:tab/>
        <w:t xml:space="preserve"> nie</w:t>
      </w:r>
      <w:r w:rsidRPr="00E9416A">
        <w:rPr>
          <w:rFonts w:ascii="Times New Roman" w:hAnsi="Times New Roman"/>
          <w:sz w:val="24"/>
          <w:szCs w:val="20"/>
          <w:lang w:val="sk-SK" w:eastAsia="sk-SK" w:bidi="sk-SK"/>
        </w:rPr>
        <w:tab/>
      </w:r>
    </w:p>
    <w:p w:rsidR="00E9416A" w:rsidRPr="00E9416A" w:rsidRDefault="00E9416A" w:rsidP="00E9416A">
      <w:pPr>
        <w:numPr>
          <w:ilvl w:val="0"/>
          <w:numId w:val="3"/>
        </w:numPr>
        <w:spacing w:before="120" w:after="12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oceliarskom odvetví</w:t>
      </w:r>
      <w:r w:rsidRPr="00E9416A">
        <w:rPr>
          <w:rFonts w:ascii="Times New Roman" w:hAnsi="Times New Roman"/>
          <w:sz w:val="24"/>
          <w:szCs w:val="20"/>
          <w:vertAlign w:val="superscript"/>
          <w:lang w:val="sk-SK" w:eastAsia="sk-SK" w:bidi="sk-SK"/>
        </w:rPr>
        <w:footnoteReference w:id="6"/>
      </w:r>
      <w:r w:rsidRPr="00E9416A">
        <w:rPr>
          <w:rFonts w:ascii="Times New Roman" w:hAnsi="Times New Roman"/>
          <w:sz w:val="24"/>
          <w:szCs w:val="20"/>
          <w:lang w:val="sk-SK" w:eastAsia="sk-SK" w:bidi="sk-SK"/>
        </w:rPr>
        <w:t xml:space="preserve">: </w:t>
      </w:r>
      <w:r w:rsidRPr="00E9416A">
        <w:rPr>
          <w:rFonts w:ascii="Times New Roman" w:hAnsi="Times New Roman"/>
          <w:sz w:val="24"/>
          <w:szCs w:val="20"/>
          <w:lang w:val="sk-SK" w:eastAsia="sk-SK" w:bidi="sk-SK"/>
        </w:rPr>
        <w:tab/>
      </w:r>
      <w:r w:rsidRPr="00E9416A">
        <w:rPr>
          <w:rFonts w:ascii="Times New Roman" w:hAnsi="Times New Roman"/>
          <w:sz w:val="24"/>
          <w:szCs w:val="20"/>
          <w:lang w:val="sk-SK" w:eastAsia="sk-SK" w:bidi="sk-SK"/>
        </w:rPr>
        <w:tab/>
      </w:r>
      <w:r w:rsidRPr="00E9416A">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E9416A">
        <w:rPr>
          <w:rFonts w:ascii="Times New Roman" w:hAnsi="Times New Roman"/>
          <w:sz w:val="24"/>
          <w:szCs w:val="20"/>
          <w:lang w:val="sk-SK" w:eastAsia="sk-SK" w:bidi="sk-SK"/>
        </w:rPr>
        <w:instrText xml:space="preserve"> FORMCHECKBOX </w:instrText>
      </w:r>
      <w:r w:rsidRPr="00E9416A">
        <w:rPr>
          <w:rFonts w:ascii="Times New Roman" w:hAnsi="Times New Roman"/>
          <w:sz w:val="24"/>
          <w:szCs w:val="20"/>
          <w:lang w:val="sk-SK" w:eastAsia="sk-SK" w:bidi="sk-SK"/>
        </w:rPr>
      </w:r>
      <w:r w:rsidRPr="00E9416A">
        <w:rPr>
          <w:rFonts w:ascii="Times New Roman" w:hAnsi="Times New Roman"/>
          <w:sz w:val="24"/>
          <w:szCs w:val="20"/>
          <w:lang w:val="sk-SK" w:eastAsia="sk-SK" w:bidi="sk-SK"/>
        </w:rPr>
        <w:fldChar w:fldCharType="separate"/>
      </w:r>
      <w:r w:rsidRPr="00E9416A">
        <w:rPr>
          <w:rFonts w:ascii="Times New Roman" w:hAnsi="Times New Roman"/>
          <w:sz w:val="24"/>
          <w:szCs w:val="20"/>
          <w:lang w:val="sk-SK" w:eastAsia="sk-SK" w:bidi="sk-SK"/>
        </w:rPr>
        <w:fldChar w:fldCharType="end"/>
      </w:r>
      <w:r w:rsidRPr="00E9416A">
        <w:rPr>
          <w:rFonts w:ascii="Times New Roman" w:hAnsi="Times New Roman"/>
          <w:sz w:val="24"/>
          <w:szCs w:val="20"/>
          <w:lang w:val="sk-SK" w:eastAsia="sk-SK" w:bidi="sk-SK"/>
        </w:rPr>
        <w:tab/>
        <w:t xml:space="preserve">áno </w:t>
      </w:r>
      <w:r w:rsidRPr="00E9416A">
        <w:rPr>
          <w:rFonts w:ascii="Times New Roman" w:hAnsi="Times New Roman"/>
          <w:sz w:val="24"/>
          <w:szCs w:val="20"/>
          <w:lang w:val="sk-SK" w:eastAsia="sk-SK" w:bidi="sk-SK"/>
        </w:rPr>
        <w:tab/>
      </w:r>
      <w:r w:rsidRPr="00E9416A">
        <w:rPr>
          <w:rFonts w:ascii="Times New Roman" w:hAnsi="Times New Roman"/>
          <w:sz w:val="24"/>
          <w:szCs w:val="20"/>
          <w:lang w:val="sk-SK" w:eastAsia="sk-SK" w:bidi="sk-SK"/>
        </w:rPr>
        <w:tab/>
        <w:t xml:space="preserve"> </w:t>
      </w:r>
      <w:r w:rsidRPr="00E9416A">
        <w:rPr>
          <w:rFonts w:ascii="Times New Roman" w:hAnsi="Times New Roman"/>
          <w:sz w:val="24"/>
          <w:szCs w:val="20"/>
          <w:lang w:val="sk-SK" w:eastAsia="sk-SK" w:bidi="sk-SK"/>
        </w:rPr>
        <w:fldChar w:fldCharType="begin">
          <w:ffData>
            <w:name w:val="Check1"/>
            <w:enabled/>
            <w:calcOnExit w:val="0"/>
            <w:checkBox>
              <w:sizeAuto/>
              <w:default w:val="0"/>
            </w:checkBox>
          </w:ffData>
        </w:fldChar>
      </w:r>
      <w:r w:rsidRPr="00E9416A">
        <w:rPr>
          <w:rFonts w:ascii="Times New Roman" w:hAnsi="Times New Roman"/>
          <w:sz w:val="24"/>
          <w:szCs w:val="20"/>
          <w:lang w:val="sk-SK" w:eastAsia="sk-SK" w:bidi="sk-SK"/>
        </w:rPr>
        <w:instrText xml:space="preserve"> FORMCHECKBOX </w:instrText>
      </w:r>
      <w:r w:rsidRPr="00E9416A">
        <w:rPr>
          <w:rFonts w:ascii="Times New Roman" w:hAnsi="Times New Roman"/>
          <w:sz w:val="24"/>
          <w:szCs w:val="20"/>
          <w:lang w:val="sk-SK" w:eastAsia="sk-SK" w:bidi="sk-SK"/>
        </w:rPr>
      </w:r>
      <w:r w:rsidRPr="00E9416A">
        <w:rPr>
          <w:rFonts w:ascii="Times New Roman" w:hAnsi="Times New Roman"/>
          <w:sz w:val="24"/>
          <w:szCs w:val="20"/>
          <w:lang w:val="sk-SK" w:eastAsia="sk-SK" w:bidi="sk-SK"/>
        </w:rPr>
        <w:fldChar w:fldCharType="separate"/>
      </w:r>
      <w:r w:rsidRPr="00E9416A">
        <w:rPr>
          <w:rFonts w:ascii="Times New Roman" w:hAnsi="Times New Roman"/>
          <w:sz w:val="24"/>
          <w:szCs w:val="20"/>
          <w:lang w:val="sk-SK" w:eastAsia="sk-SK" w:bidi="sk-SK"/>
        </w:rPr>
        <w:fldChar w:fldCharType="end"/>
      </w:r>
      <w:r w:rsidRPr="00E9416A">
        <w:rPr>
          <w:rFonts w:ascii="Times New Roman" w:hAnsi="Times New Roman"/>
          <w:sz w:val="24"/>
          <w:szCs w:val="20"/>
          <w:lang w:val="sk-SK" w:eastAsia="sk-SK" w:bidi="sk-SK"/>
        </w:rPr>
        <w:tab/>
        <w:t xml:space="preserve"> nie</w:t>
      </w:r>
      <w:r w:rsidRPr="00E9416A">
        <w:rPr>
          <w:rFonts w:ascii="Times New Roman" w:hAnsi="Times New Roman"/>
          <w:sz w:val="24"/>
          <w:szCs w:val="20"/>
          <w:lang w:val="sk-SK" w:eastAsia="sk-SK" w:bidi="sk-SK"/>
        </w:rPr>
        <w:tab/>
      </w:r>
    </w:p>
    <w:p w:rsidR="00E9416A" w:rsidRPr="00E9416A" w:rsidRDefault="00E9416A" w:rsidP="00E9416A">
      <w:pPr>
        <w:numPr>
          <w:ilvl w:val="0"/>
          <w:numId w:val="3"/>
        </w:numPr>
        <w:spacing w:before="120" w:after="12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odvetviach, na ktoré sa vzťahujú osobitné pravidlá pre finančné inštitúcie</w:t>
      </w:r>
      <w:r w:rsidRPr="00E9416A">
        <w:rPr>
          <w:rFonts w:ascii="Times New Roman" w:hAnsi="Times New Roman"/>
          <w:sz w:val="24"/>
          <w:szCs w:val="20"/>
          <w:vertAlign w:val="superscript"/>
          <w:lang w:val="sk-SK" w:eastAsia="sk-SK" w:bidi="sk-SK"/>
        </w:rPr>
        <w:footnoteReference w:id="7"/>
      </w:r>
      <w:r w:rsidRPr="00E9416A">
        <w:rPr>
          <w:rFonts w:ascii="Times New Roman" w:hAnsi="Times New Roman"/>
          <w:sz w:val="24"/>
          <w:szCs w:val="20"/>
          <w:lang w:val="sk-SK" w:eastAsia="sk-SK" w:bidi="sk-SK"/>
        </w:rPr>
        <w:t xml:space="preserve">: </w:t>
      </w:r>
      <w:r w:rsidRPr="00E9416A">
        <w:rPr>
          <w:rFonts w:ascii="Times New Roman" w:hAnsi="Times New Roman"/>
          <w:sz w:val="24"/>
          <w:szCs w:val="20"/>
          <w:lang w:val="sk-SK" w:eastAsia="sk-SK" w:bidi="sk-SK"/>
        </w:rPr>
        <w:tab/>
      </w:r>
    </w:p>
    <w:p w:rsidR="00E9416A" w:rsidRPr="00E9416A" w:rsidRDefault="00E9416A" w:rsidP="00E9416A">
      <w:pPr>
        <w:spacing w:before="120" w:after="120" w:line="240" w:lineRule="auto"/>
        <w:ind w:left="1985"/>
        <w:jc w:val="both"/>
        <w:rPr>
          <w:rFonts w:ascii="Times New Roman" w:hAnsi="Times New Roman"/>
          <w:b/>
          <w:sz w:val="24"/>
          <w:szCs w:val="24"/>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E9416A">
      <w:pPr>
        <w:widowControl w:val="0"/>
        <w:spacing w:before="120" w:after="120" w:line="240" w:lineRule="auto"/>
        <w:jc w:val="both"/>
        <w:rPr>
          <w:b/>
          <w:bCs/>
          <w:sz w:val="24"/>
          <w:szCs w:val="24"/>
          <w:lang w:val="sk-SK"/>
        </w:rPr>
      </w:pPr>
      <w:r w:rsidRPr="00E9416A">
        <w:rPr>
          <w:b/>
          <w:bCs/>
          <w:sz w:val="24"/>
          <w:szCs w:val="16"/>
          <w:lang w:val="sk-SK"/>
        </w:rPr>
        <w:t xml:space="preserve">1.4. </w:t>
      </w:r>
      <w:r w:rsidRPr="00E9416A">
        <w:rPr>
          <w:b/>
          <w:bCs/>
          <w:sz w:val="16"/>
          <w:szCs w:val="16"/>
          <w:lang w:val="sk-SK"/>
        </w:rPr>
        <w:tab/>
      </w:r>
      <w:r w:rsidRPr="00E9416A">
        <w:rPr>
          <w:b/>
          <w:bCs/>
          <w:sz w:val="24"/>
          <w:szCs w:val="16"/>
          <w:lang w:val="sk-SK"/>
        </w:rPr>
        <w:t>Poskytovateľ služieb všeobecného hospodárskeho záujmu:</w:t>
      </w:r>
    </w:p>
    <w:p w:rsidR="00E9416A" w:rsidRPr="00E9416A" w:rsidRDefault="00E9416A" w:rsidP="00E9416A">
      <w:pPr>
        <w:numPr>
          <w:ilvl w:val="0"/>
          <w:numId w:val="2"/>
        </w:numPr>
        <w:spacing w:before="120" w:after="12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Poskytuje podnik služby všeobecného hospodárskeho záujmu?</w:t>
      </w:r>
    </w:p>
    <w:p w:rsidR="00E9416A" w:rsidRPr="00E9416A" w:rsidRDefault="00E9416A" w:rsidP="00E9416A">
      <w:pPr>
        <w:spacing w:before="120" w:after="120" w:line="240" w:lineRule="auto"/>
        <w:ind w:left="1985"/>
        <w:jc w:val="both"/>
        <w:rPr>
          <w:rFonts w:ascii="Times New Roman" w:hAnsi="Times New Roman"/>
          <w:sz w:val="24"/>
          <w:szCs w:val="24"/>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E9416A">
      <w:pPr>
        <w:numPr>
          <w:ilvl w:val="0"/>
          <w:numId w:val="2"/>
        </w:numPr>
        <w:spacing w:before="120" w:after="12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Ak je odpoveď na otázku v písmene A áno,, opíšte službu(-y) všeobecného hospodárskeho záujmu a poskytnite kópiu poverovacieho(-ích) aktu(-ov).</w:t>
      </w:r>
    </w:p>
    <w:p w:rsidR="00E9416A" w:rsidRPr="00E9416A" w:rsidRDefault="00E9416A" w:rsidP="00E9416A">
      <w:pPr>
        <w:tabs>
          <w:tab w:val="left" w:leader="dot" w:pos="9072"/>
        </w:tabs>
        <w:spacing w:before="120" w:after="12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before="120" w:after="12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keepNext/>
        <w:numPr>
          <w:ilvl w:val="0"/>
          <w:numId w:val="2"/>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lastRenderedPageBreak/>
        <w:t>Ak ste odpovedali áno, uveďte sumu náhrady za služby vo verejnom záujme, ktorú podnik dostáva, opíšte metodiku výpočtu náhrady a uveďte príslušný právny základ, ktorým sa stanovuje metodika výpočtu náhrady za služby vo verejnom záujme.</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widowControl w:val="0"/>
        <w:spacing w:after="128" w:line="240" w:lineRule="auto"/>
        <w:ind w:left="720" w:hanging="720"/>
        <w:jc w:val="both"/>
        <w:rPr>
          <w:bCs/>
          <w:color w:val="000000"/>
          <w:sz w:val="24"/>
          <w:szCs w:val="24"/>
          <w:shd w:val="clear" w:color="auto" w:fill="FFFFFF"/>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E9416A" w:rsidRPr="00E9416A" w:rsidTr="00DB370D">
        <w:tc>
          <w:tcPr>
            <w:tcW w:w="9214" w:type="dxa"/>
            <w:tcBorders>
              <w:top w:val="single" w:sz="4" w:space="0" w:color="auto"/>
              <w:left w:val="single" w:sz="4" w:space="0" w:color="auto"/>
              <w:bottom w:val="single" w:sz="4" w:space="0" w:color="auto"/>
              <w:right w:val="single" w:sz="4" w:space="0" w:color="auto"/>
            </w:tcBorders>
            <w:shd w:val="pct15" w:color="auto" w:fill="FFFFFF"/>
          </w:tcPr>
          <w:p w:rsidR="00E9416A" w:rsidRPr="00E9416A" w:rsidRDefault="00E9416A" w:rsidP="00E9416A">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E9416A">
              <w:rPr>
                <w:rFonts w:ascii="Times New Roman" w:eastAsia="Times New Roman" w:hAnsi="Times New Roman"/>
                <w:bCs/>
                <w:iCs/>
                <w:sz w:val="24"/>
                <w:lang w:val="sk-SK"/>
              </w:rPr>
              <w:br w:type="page"/>
            </w:r>
            <w:r w:rsidRPr="00E9416A">
              <w:rPr>
                <w:rFonts w:ascii="Times New Roman" w:eastAsia="Times New Roman" w:hAnsi="Times New Roman"/>
                <w:bCs/>
                <w:iCs/>
                <w:sz w:val="24"/>
                <w:lang w:val="sk-SK"/>
              </w:rPr>
              <w:br w:type="page"/>
              <w:t>Zlučiteľnosť s vnútorným trhom</w:t>
            </w:r>
          </w:p>
        </w:tc>
      </w:tr>
    </w:tbl>
    <w:p w:rsidR="00E9416A" w:rsidRPr="00E9416A" w:rsidRDefault="00E9416A" w:rsidP="00E9416A">
      <w:pPr>
        <w:widowControl w:val="0"/>
        <w:tabs>
          <w:tab w:val="left" w:pos="610"/>
        </w:tabs>
        <w:spacing w:after="162" w:line="240" w:lineRule="auto"/>
        <w:jc w:val="both"/>
        <w:rPr>
          <w:b/>
          <w:bCs/>
          <w:color w:val="000000"/>
          <w:sz w:val="24"/>
          <w:szCs w:val="24"/>
          <w:shd w:val="clear" w:color="auto" w:fill="FFFFFF"/>
          <w:lang w:val="en-US"/>
        </w:rPr>
      </w:pPr>
    </w:p>
    <w:p w:rsidR="00E9416A" w:rsidRPr="00E9416A" w:rsidRDefault="00E9416A" w:rsidP="00E9416A">
      <w:pPr>
        <w:numPr>
          <w:ilvl w:val="1"/>
          <w:numId w:val="7"/>
        </w:numPr>
        <w:spacing w:before="120" w:after="0" w:line="240" w:lineRule="auto"/>
        <w:ind w:hanging="792"/>
        <w:contextualSpacing/>
        <w:jc w:val="both"/>
        <w:rPr>
          <w:rFonts w:ascii="Times New Roman" w:hAnsi="Times New Roman"/>
          <w:b/>
          <w:sz w:val="24"/>
          <w:szCs w:val="20"/>
          <w:lang w:val="sk-SK" w:eastAsia="sk-SK" w:bidi="sk-SK"/>
        </w:rPr>
      </w:pPr>
      <w:r w:rsidRPr="00E9416A">
        <w:rPr>
          <w:rFonts w:ascii="Times New Roman" w:hAnsi="Times New Roman"/>
          <w:b/>
          <w:sz w:val="24"/>
          <w:szCs w:val="20"/>
          <w:lang w:val="sk-SK" w:eastAsia="sk-SK" w:bidi="sk-SK"/>
        </w:rPr>
        <w:t>Príspevok k cieľu spoločného záujmu:</w:t>
      </w:r>
    </w:p>
    <w:p w:rsidR="00E9416A" w:rsidRPr="00E9416A" w:rsidRDefault="00E9416A" w:rsidP="00E9416A">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Nachádza sa príjemca v regióne alebo regiónoch (na úrovni NUTS 2), kde je miera nezamestnanosti jedno z uvedeného:</w:t>
      </w:r>
    </w:p>
    <w:p w:rsidR="00E9416A" w:rsidRPr="00E9416A" w:rsidRDefault="00E9416A" w:rsidP="00E9416A">
      <w:pPr>
        <w:numPr>
          <w:ilvl w:val="0"/>
          <w:numId w:val="9"/>
        </w:numPr>
        <w:spacing w:before="120" w:after="0" w:line="240" w:lineRule="auto"/>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vyššia ako priemer Únie, pretrvávajúca a sprevádzaná ťažkosťami pri vytváraní nových pracovných miest v dotknutom regióne (dotknutých regiónoch),</w:t>
      </w:r>
    </w:p>
    <w:p w:rsidR="00E9416A" w:rsidRPr="00E9416A" w:rsidRDefault="00E9416A" w:rsidP="00E9416A">
      <w:pPr>
        <w:numPr>
          <w:ilvl w:val="0"/>
          <w:numId w:val="9"/>
        </w:numPr>
        <w:spacing w:before="120" w:after="0" w:line="240" w:lineRule="auto"/>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vyššia ako celoštátny priemer, pretrvávajúca a sprevádzaná ťažkosťami pri vytváraní nových pracovných miest v dotknutom regióne (dotknutých regiónoch).</w:t>
      </w:r>
    </w:p>
    <w:p w:rsidR="00E9416A" w:rsidRPr="00E9416A" w:rsidRDefault="00E9416A" w:rsidP="00E9416A">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E9416A">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Existuje riziko narušenia dôležitej služby, ktorú je ťažké nahradiť, a kde by bol ťažký vstup pre akéhokoľvek konkurenta (napríklad poskytovateľ celoštátnej infraštruktúry)?</w:t>
      </w:r>
    </w:p>
    <w:p w:rsidR="00E9416A" w:rsidRPr="00E9416A" w:rsidRDefault="00E9416A" w:rsidP="00E9416A">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E9416A">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Má podnik dôležitú systémovú úlohu v určitom regióne alebo odvetví? Mal by jeho odchod z trhu akékoľvek možné nepriaznivé vplyvy (napríklad ako dodávateľa dôležitého vstupu)?</w:t>
      </w:r>
    </w:p>
    <w:p w:rsidR="00E9416A" w:rsidRPr="00E9416A" w:rsidRDefault="00E9416A" w:rsidP="00E9416A">
      <w:pPr>
        <w:spacing w:before="100" w:beforeAutospacing="1" w:after="100" w:afterAutospacing="1" w:line="240" w:lineRule="auto"/>
        <w:ind w:left="1985"/>
        <w:jc w:val="both"/>
        <w:rPr>
          <w:rFonts w:ascii="Times New Roman" w:hAnsi="Times New Roman"/>
          <w:sz w:val="24"/>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E9416A">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Existuje riziko prerušenia kontinuity poskytovania služieb všeobecného hospodárskeho záujmu?</w:t>
      </w:r>
    </w:p>
    <w:p w:rsidR="00E9416A" w:rsidRPr="00E9416A" w:rsidRDefault="00E9416A" w:rsidP="00E9416A">
      <w:pPr>
        <w:spacing w:before="100" w:beforeAutospacing="1" w:after="100" w:afterAutospacing="1" w:line="240" w:lineRule="auto"/>
        <w:ind w:left="1985"/>
        <w:jc w:val="both"/>
        <w:rPr>
          <w:rFonts w:ascii="Times New Roman" w:hAnsi="Times New Roman"/>
          <w:sz w:val="24"/>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E9416A">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Priviedli by zlyhanie alebo negatívne stimuly úverových trhov inak životaschopný podnik do konkurzu?</w:t>
      </w:r>
    </w:p>
    <w:p w:rsidR="00E9416A" w:rsidRPr="00E9416A" w:rsidRDefault="00E9416A" w:rsidP="00E9416A">
      <w:pPr>
        <w:spacing w:before="100" w:beforeAutospacing="1" w:after="100" w:afterAutospacing="1" w:line="240" w:lineRule="auto"/>
        <w:ind w:left="1985"/>
        <w:jc w:val="both"/>
        <w:rPr>
          <w:rFonts w:ascii="Times New Roman" w:hAnsi="Times New Roman"/>
          <w:sz w:val="24"/>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E9416A">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Viedol by odchod daného podniku z trhu k nenahraditeľnej strate dôležitých technických vedomostí alebo odborných znalostí?</w:t>
      </w:r>
    </w:p>
    <w:p w:rsidR="00E9416A" w:rsidRPr="00E9416A" w:rsidRDefault="00E9416A" w:rsidP="00E9416A">
      <w:pPr>
        <w:spacing w:before="100" w:beforeAutospacing="1" w:after="100" w:afterAutospacing="1" w:line="240" w:lineRule="auto"/>
        <w:ind w:left="1985"/>
        <w:jc w:val="both"/>
        <w:rPr>
          <w:rFonts w:ascii="Times New Roman" w:hAnsi="Times New Roman"/>
          <w:sz w:val="24"/>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E9416A">
      <w:pPr>
        <w:numPr>
          <w:ilvl w:val="0"/>
          <w:numId w:val="8"/>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lastRenderedPageBreak/>
        <w:t>Znamenal by neúspech príjemcu akékoľvek podobné zložité situácie, ktoré nie sú uvedené vyššie?</w:t>
      </w:r>
    </w:p>
    <w:p w:rsidR="00E9416A" w:rsidRPr="00E9416A" w:rsidRDefault="00E9416A" w:rsidP="00E9416A">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F946FF">
      <w:pPr>
        <w:spacing w:before="120" w:after="0" w:line="240" w:lineRule="auto"/>
        <w:ind w:left="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Ak ste odpovedali áno na ktorúkoľvek z otázok v bodoch A až G, plne zdôvodnite odpoveď(-de) vrátane odkazu na ďalšie podporné dôkazy alebo dokumenty poskytnuté v prílohe.</w:t>
      </w:r>
    </w:p>
    <w:p w:rsidR="00E9416A" w:rsidRPr="00E9416A" w:rsidRDefault="00E9416A" w:rsidP="00E9416A">
      <w:pPr>
        <w:spacing w:before="120" w:after="120" w:line="240" w:lineRule="auto"/>
        <w:ind w:left="709"/>
        <w:jc w:val="both"/>
        <w:rPr>
          <w:rFonts w:ascii="Times New Roman" w:hAnsi="Times New Roman"/>
          <w:sz w:val="24"/>
          <w:lang w:val="sk-SK"/>
        </w:rPr>
      </w:pPr>
      <w:r w:rsidRPr="00E9416A">
        <w:rPr>
          <w:rFonts w:ascii="Times New Roman" w:hAnsi="Times New Roman"/>
          <w:sz w:val="24"/>
          <w:lang w:val="sk-SK"/>
        </w:rPr>
        <w:t>……………………………………………………………………………...……………………………………………………………………………………………....….……</w:t>
      </w:r>
    </w:p>
    <w:p w:rsidR="00E9416A" w:rsidRPr="00E9416A" w:rsidRDefault="00E9416A" w:rsidP="00E9416A">
      <w:pPr>
        <w:numPr>
          <w:ilvl w:val="1"/>
          <w:numId w:val="7"/>
        </w:numPr>
        <w:spacing w:before="120" w:after="0" w:line="240" w:lineRule="auto"/>
        <w:ind w:hanging="792"/>
        <w:contextualSpacing/>
        <w:jc w:val="both"/>
        <w:rPr>
          <w:rFonts w:ascii="Times New Roman" w:hAnsi="Times New Roman"/>
          <w:b/>
          <w:sz w:val="24"/>
          <w:szCs w:val="20"/>
          <w:lang w:val="sk-SK" w:eastAsia="sk-SK" w:bidi="sk-SK"/>
        </w:rPr>
      </w:pPr>
      <w:r w:rsidRPr="00E9416A">
        <w:rPr>
          <w:rFonts w:ascii="Times New Roman" w:hAnsi="Times New Roman"/>
          <w:b/>
          <w:sz w:val="24"/>
          <w:szCs w:val="20"/>
          <w:lang w:val="sk-SK" w:eastAsia="sk-SK" w:bidi="sk-SK"/>
        </w:rPr>
        <w:t>Plán reštrukturalizácie a návrat k dlhodobej životaschopnosti</w:t>
      </w:r>
    </w:p>
    <w:p w:rsidR="00E9416A" w:rsidRPr="00E9416A" w:rsidRDefault="00E9416A" w:rsidP="00E9416A">
      <w:pPr>
        <w:spacing w:before="120" w:after="120" w:line="240" w:lineRule="auto"/>
        <w:jc w:val="both"/>
        <w:rPr>
          <w:rFonts w:ascii="Times New Roman" w:hAnsi="Times New Roman"/>
          <w:b/>
          <w:color w:val="000000"/>
          <w:sz w:val="16"/>
          <w:szCs w:val="24"/>
          <w:u w:val="single"/>
          <w:shd w:val="clear" w:color="auto" w:fill="FFFFFF"/>
          <w:lang w:val="sk-SK"/>
        </w:rPr>
      </w:pPr>
    </w:p>
    <w:p w:rsidR="00E9416A" w:rsidRPr="00E9416A" w:rsidRDefault="00E9416A" w:rsidP="00E9416A">
      <w:pPr>
        <w:spacing w:before="120" w:after="120" w:line="240" w:lineRule="auto"/>
        <w:ind w:left="709" w:hanging="1"/>
        <w:jc w:val="both"/>
        <w:rPr>
          <w:rFonts w:ascii="Times New Roman" w:hAnsi="Times New Roman"/>
          <w:sz w:val="24"/>
          <w:lang w:val="sk-SK"/>
        </w:rPr>
      </w:pPr>
      <w:r w:rsidRPr="00E9416A">
        <w:rPr>
          <w:rFonts w:ascii="Times New Roman" w:hAnsi="Times New Roman"/>
          <w:sz w:val="24"/>
          <w:lang w:val="sk-SK"/>
        </w:rPr>
        <w:t>Predložte reštrukturalizačný plán</w:t>
      </w:r>
      <w:r w:rsidRPr="00E9416A">
        <w:rPr>
          <w:rFonts w:ascii="Times New Roman" w:hAnsi="Times New Roman"/>
          <w:sz w:val="24"/>
          <w:vertAlign w:val="superscript"/>
          <w:lang w:val="sk-SK"/>
        </w:rPr>
        <w:footnoteReference w:id="8"/>
      </w:r>
      <w:r w:rsidRPr="00E9416A">
        <w:rPr>
          <w:rFonts w:ascii="Times New Roman" w:hAnsi="Times New Roman"/>
          <w:sz w:val="24"/>
          <w:lang w:val="sk-SK"/>
        </w:rPr>
        <w:t xml:space="preserve"> zameraný na obnovu dlhodobej životaschopnosti</w:t>
      </w:r>
      <w:r w:rsidRPr="00E9416A">
        <w:rPr>
          <w:rFonts w:ascii="Times New Roman" w:hAnsi="Times New Roman"/>
          <w:sz w:val="24"/>
          <w:vertAlign w:val="superscript"/>
          <w:lang w:val="sk-SK"/>
        </w:rPr>
        <w:footnoteReference w:id="9"/>
      </w:r>
      <w:r w:rsidRPr="00E9416A">
        <w:rPr>
          <w:rFonts w:ascii="Times New Roman" w:hAnsi="Times New Roman"/>
          <w:sz w:val="24"/>
          <w:lang w:val="sk-SK"/>
        </w:rPr>
        <w:t xml:space="preserve"> príjemcu v primeranom časovom rozpätí spolu s prieskumom trhu a analýzou citlivosti, v ktorej sú určené hlavné parametre výkonnosti príjemcu a hlavné rizikové faktory pre budúci vývoj (čo najviac dodržujte orientačný plán reštrukturalizácie uvedený v prílohe II k usmerneniam).</w:t>
      </w:r>
    </w:p>
    <w:p w:rsidR="00E9416A" w:rsidRPr="00E9416A" w:rsidRDefault="00E9416A" w:rsidP="00E9416A">
      <w:pPr>
        <w:spacing w:before="120" w:after="120" w:line="240" w:lineRule="auto"/>
        <w:ind w:left="709" w:hanging="709"/>
        <w:jc w:val="both"/>
        <w:rPr>
          <w:rFonts w:ascii="Times New Roman" w:hAnsi="Times New Roman"/>
          <w:sz w:val="24"/>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E9416A" w:rsidRPr="00E9416A" w:rsidTr="00DB370D">
        <w:tc>
          <w:tcPr>
            <w:tcW w:w="9214" w:type="dxa"/>
            <w:tcBorders>
              <w:top w:val="single" w:sz="4" w:space="0" w:color="auto"/>
              <w:left w:val="single" w:sz="4" w:space="0" w:color="auto"/>
              <w:bottom w:val="single" w:sz="4" w:space="0" w:color="auto"/>
              <w:right w:val="single" w:sz="4" w:space="0" w:color="auto"/>
            </w:tcBorders>
            <w:shd w:val="pct15" w:color="auto" w:fill="FFFFFF"/>
          </w:tcPr>
          <w:p w:rsidR="00E9416A" w:rsidRPr="00E9416A" w:rsidRDefault="00E9416A" w:rsidP="00E9416A">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E9416A">
              <w:rPr>
                <w:rFonts w:ascii="Times New Roman" w:eastAsia="Times New Roman" w:hAnsi="Times New Roman"/>
                <w:bCs/>
                <w:iCs/>
                <w:sz w:val="24"/>
                <w:lang w:val="sk-SK"/>
              </w:rPr>
              <w:br w:type="page"/>
              <w:t>Potreba štátneho zásahu/stimulačný účinok</w:t>
            </w:r>
          </w:p>
        </w:tc>
      </w:tr>
    </w:tbl>
    <w:p w:rsidR="00E9416A" w:rsidRPr="00E9416A" w:rsidRDefault="00E9416A" w:rsidP="00E9416A">
      <w:pPr>
        <w:spacing w:before="120" w:after="120" w:line="240" w:lineRule="auto"/>
        <w:ind w:left="709"/>
        <w:jc w:val="both"/>
        <w:rPr>
          <w:rFonts w:ascii="Times New Roman" w:hAnsi="Times New Roman"/>
          <w:sz w:val="24"/>
          <w:lang w:val="sk-SK"/>
        </w:rPr>
      </w:pPr>
    </w:p>
    <w:p w:rsidR="00E9416A" w:rsidRPr="00E9416A" w:rsidRDefault="00E9416A" w:rsidP="00E9416A">
      <w:pPr>
        <w:numPr>
          <w:ilvl w:val="1"/>
          <w:numId w:val="10"/>
        </w:numPr>
        <w:spacing w:before="120" w:after="0" w:line="240" w:lineRule="auto"/>
        <w:ind w:hanging="858"/>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Uveďte porovnanie opatrení uvedených v pláne reštrukturalizácie s dôveryhodným alternatívnym scenárom, ktorý nezahŕňa štátnu pomoc</w:t>
      </w:r>
      <w:r w:rsidRPr="00E9416A">
        <w:rPr>
          <w:rFonts w:ascii="Times New Roman" w:hAnsi="Times New Roman"/>
          <w:sz w:val="24"/>
          <w:szCs w:val="20"/>
          <w:vertAlign w:val="superscript"/>
          <w:lang w:val="sk-SK" w:eastAsia="sk-SK" w:bidi="sk-SK"/>
        </w:rPr>
        <w:footnoteReference w:id="10"/>
      </w:r>
      <w:r w:rsidRPr="00E9416A">
        <w:rPr>
          <w:rFonts w:ascii="Times New Roman" w:hAnsi="Times New Roman"/>
          <w:sz w:val="24"/>
          <w:szCs w:val="20"/>
          <w:lang w:val="sk-SK" w:eastAsia="sk-SK" w:bidi="sk-SK"/>
        </w:rPr>
        <w:t>, v ktorom sa preukazuje, že v prípade takéhoto alternatívneho scenára by príslušný cieľ alebo ciele, ktoré ste uviedli v oddiele 2.1, neboli dosiahnuté, alebo by boli dosiahnuté v menšej miere.</w:t>
      </w:r>
    </w:p>
    <w:p w:rsidR="00E9416A" w:rsidRPr="00E9416A" w:rsidRDefault="00E9416A" w:rsidP="00E9416A">
      <w:pPr>
        <w:numPr>
          <w:ilvl w:val="1"/>
          <w:numId w:val="10"/>
        </w:numPr>
        <w:spacing w:before="120" w:after="0" w:line="240" w:lineRule="auto"/>
        <w:ind w:hanging="858"/>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Preukážte, že v prípade neposkytnutia pomoci by došlo k reštrukturalizácii, predaju alebo likvidácii príjemcu spôsobom, ktorým by sa nedosiahol cieľ spoločného záujmu uvedeného v oddiele 2.1.</w:t>
      </w:r>
    </w:p>
    <w:p w:rsidR="00E9416A" w:rsidRPr="00E9416A" w:rsidRDefault="00E9416A" w:rsidP="00E9416A">
      <w:pPr>
        <w:keepNext/>
        <w:spacing w:before="120" w:after="120" w:line="240" w:lineRule="auto"/>
        <w:ind w:left="709" w:hanging="709"/>
        <w:jc w:val="both"/>
        <w:rPr>
          <w:rFonts w:ascii="Times New Roman" w:hAnsi="Times New Roman"/>
          <w:sz w:val="24"/>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E9416A" w:rsidRPr="00E9416A" w:rsidTr="00DB370D">
        <w:tc>
          <w:tcPr>
            <w:tcW w:w="9214" w:type="dxa"/>
            <w:tcBorders>
              <w:top w:val="single" w:sz="4" w:space="0" w:color="auto"/>
              <w:left w:val="single" w:sz="4" w:space="0" w:color="auto"/>
              <w:bottom w:val="single" w:sz="4" w:space="0" w:color="auto"/>
              <w:right w:val="single" w:sz="4" w:space="0" w:color="auto"/>
            </w:tcBorders>
            <w:shd w:val="pct15" w:color="auto" w:fill="FFFFFF"/>
          </w:tcPr>
          <w:p w:rsidR="00E9416A" w:rsidRPr="00E9416A" w:rsidRDefault="00E9416A" w:rsidP="00E9416A">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E9416A">
              <w:rPr>
                <w:rFonts w:ascii="Times New Roman" w:eastAsia="Times New Roman" w:hAnsi="Times New Roman"/>
                <w:bCs/>
                <w:iCs/>
                <w:sz w:val="24"/>
                <w:lang w:val="sk-SK"/>
              </w:rPr>
              <w:br w:type="page"/>
            </w:r>
            <w:r w:rsidRPr="00E9416A">
              <w:rPr>
                <w:rFonts w:ascii="Times New Roman" w:eastAsia="Times New Roman" w:hAnsi="Times New Roman"/>
                <w:bCs/>
                <w:iCs/>
                <w:sz w:val="24"/>
                <w:lang w:val="sk-SK"/>
              </w:rPr>
              <w:br w:type="page"/>
              <w:t>Vhodnosť</w:t>
            </w:r>
          </w:p>
        </w:tc>
      </w:tr>
    </w:tbl>
    <w:p w:rsidR="00E9416A" w:rsidRPr="00E9416A" w:rsidRDefault="00E9416A" w:rsidP="00E9416A">
      <w:pPr>
        <w:keepNext/>
        <w:spacing w:before="120" w:after="120" w:line="240" w:lineRule="auto"/>
        <w:jc w:val="both"/>
        <w:rPr>
          <w:rFonts w:ascii="Times New Roman" w:hAnsi="Times New Roman"/>
          <w:color w:val="000000"/>
          <w:sz w:val="15"/>
          <w:szCs w:val="24"/>
          <w:shd w:val="clear" w:color="auto" w:fill="FFFFFF"/>
          <w:lang w:val="sk-SK"/>
        </w:rPr>
      </w:pPr>
    </w:p>
    <w:p w:rsidR="00E9416A" w:rsidRPr="00E9416A" w:rsidRDefault="00E9416A" w:rsidP="00E9416A">
      <w:pPr>
        <w:keepNext/>
        <w:numPr>
          <w:ilvl w:val="1"/>
          <w:numId w:val="11"/>
        </w:numPr>
        <w:spacing w:before="120" w:after="0" w:line="240" w:lineRule="auto"/>
        <w:ind w:hanging="858"/>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Uveďte stručný opis zvolených nástrojov štátnej pomoci vrátane formy, výšky a náhrady</w:t>
      </w:r>
      <w:r w:rsidRPr="00E9416A">
        <w:rPr>
          <w:rFonts w:ascii="Times New Roman" w:hAnsi="Times New Roman"/>
          <w:sz w:val="24"/>
          <w:szCs w:val="20"/>
          <w:vertAlign w:val="superscript"/>
          <w:lang w:val="sk-SK" w:eastAsia="sk-SK" w:bidi="sk-SK"/>
        </w:rPr>
        <w:footnoteReference w:id="11"/>
      </w:r>
      <w:r w:rsidRPr="00E9416A">
        <w:rPr>
          <w:rFonts w:ascii="Times New Roman" w:hAnsi="Times New Roman"/>
          <w:sz w:val="24"/>
          <w:szCs w:val="20"/>
          <w:lang w:val="sk-SK" w:eastAsia="sk-SK" w:bidi="sk-SK"/>
        </w:rPr>
        <w:t>:</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numPr>
          <w:ilvl w:val="1"/>
          <w:numId w:val="11"/>
        </w:numPr>
        <w:spacing w:before="120" w:after="0" w:line="240" w:lineRule="auto"/>
        <w:ind w:hanging="858"/>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Vysvetlite, či sú problémy príjemcu spôsobené problémami, ktoré sa týkajú likvidity a/alebo platobnej schopnosti alebo obidvoma:</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numPr>
          <w:ilvl w:val="1"/>
          <w:numId w:val="11"/>
        </w:numPr>
        <w:spacing w:before="120" w:after="0" w:line="240" w:lineRule="auto"/>
        <w:ind w:hanging="858"/>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Preukážte, že zvolené nástroje štátnej pomoci sú vhodné na riešenie problémov uvedených v bode 4.2 (napr. problémy, ktoré sa týkajú likvidity alebo platobnej schopnosti).</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spacing w:before="120" w:after="120" w:line="240" w:lineRule="auto"/>
        <w:ind w:left="709"/>
        <w:jc w:val="both"/>
        <w:rPr>
          <w:rFonts w:ascii="Times New Roman" w:hAnsi="Times New Roman"/>
          <w:sz w:val="24"/>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E9416A" w:rsidRPr="00E9416A" w:rsidTr="00DB370D">
        <w:tc>
          <w:tcPr>
            <w:tcW w:w="9214" w:type="dxa"/>
            <w:tcBorders>
              <w:top w:val="single" w:sz="4" w:space="0" w:color="auto"/>
              <w:left w:val="single" w:sz="4" w:space="0" w:color="auto"/>
              <w:bottom w:val="single" w:sz="4" w:space="0" w:color="auto"/>
              <w:right w:val="single" w:sz="4" w:space="0" w:color="auto"/>
            </w:tcBorders>
            <w:shd w:val="pct15" w:color="auto" w:fill="FFFFFF"/>
          </w:tcPr>
          <w:p w:rsidR="00E9416A" w:rsidRPr="00E9416A" w:rsidRDefault="00E9416A" w:rsidP="00E9416A">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E9416A">
              <w:rPr>
                <w:rFonts w:ascii="Times New Roman" w:eastAsia="Times New Roman" w:hAnsi="Times New Roman"/>
                <w:bCs/>
                <w:iCs/>
                <w:sz w:val="24"/>
                <w:lang w:val="sk-SK"/>
              </w:rPr>
              <w:br w:type="page"/>
            </w:r>
            <w:r w:rsidRPr="00E9416A">
              <w:rPr>
                <w:rFonts w:ascii="Times New Roman" w:eastAsia="Times New Roman" w:hAnsi="Times New Roman"/>
                <w:bCs/>
                <w:iCs/>
                <w:sz w:val="24"/>
                <w:lang w:val="sk-SK"/>
              </w:rPr>
              <w:br w:type="page"/>
              <w:t>Primeranosť pomoci/pomoc obmedzená na minimum</w:t>
            </w:r>
          </w:p>
        </w:tc>
      </w:tr>
    </w:tbl>
    <w:p w:rsidR="00E9416A" w:rsidRPr="00E9416A" w:rsidRDefault="00E9416A" w:rsidP="00F946FF">
      <w:pPr>
        <w:spacing w:before="120" w:after="0" w:line="240" w:lineRule="auto"/>
        <w:jc w:val="both"/>
        <w:rPr>
          <w:rFonts w:ascii="Times New Roman" w:hAnsi="Times New Roman"/>
          <w:sz w:val="24"/>
          <w:lang w:val="sk-SK"/>
        </w:rPr>
      </w:pPr>
    </w:p>
    <w:p w:rsidR="00E9416A" w:rsidRPr="00E9416A" w:rsidRDefault="00E9416A" w:rsidP="00E9416A">
      <w:pPr>
        <w:numPr>
          <w:ilvl w:val="1"/>
          <w:numId w:val="12"/>
        </w:numPr>
        <w:spacing w:before="120" w:after="0" w:line="240" w:lineRule="auto"/>
        <w:ind w:hanging="858"/>
        <w:contextualSpacing/>
        <w:jc w:val="both"/>
        <w:rPr>
          <w:rFonts w:ascii="Times New Roman" w:hAnsi="Times New Roman"/>
          <w:b/>
          <w:sz w:val="24"/>
          <w:szCs w:val="20"/>
          <w:lang w:val="sk-SK" w:eastAsia="sk-SK" w:bidi="sk-SK"/>
        </w:rPr>
      </w:pPr>
      <w:r w:rsidRPr="00E9416A">
        <w:rPr>
          <w:rFonts w:ascii="Times New Roman" w:hAnsi="Times New Roman"/>
          <w:b/>
          <w:sz w:val="24"/>
          <w:szCs w:val="20"/>
          <w:lang w:val="sk-SK" w:eastAsia="sk-SK" w:bidi="sk-SK"/>
        </w:rPr>
        <w:t>Vlastný príspevok</w:t>
      </w:r>
    </w:p>
    <w:p w:rsidR="00E9416A" w:rsidRPr="00E9416A" w:rsidRDefault="00E9416A" w:rsidP="00E9416A">
      <w:pPr>
        <w:spacing w:before="120" w:after="120" w:line="240" w:lineRule="auto"/>
        <w:jc w:val="both"/>
        <w:rPr>
          <w:rFonts w:ascii="Times New Roman" w:hAnsi="Times New Roman"/>
          <w:b/>
          <w:sz w:val="24"/>
          <w:lang w:val="sk-SK"/>
        </w:rPr>
      </w:pPr>
    </w:p>
    <w:p w:rsidR="00E9416A" w:rsidRPr="00E9416A" w:rsidRDefault="00E9416A" w:rsidP="00E9416A">
      <w:pPr>
        <w:numPr>
          <w:ilvl w:val="0"/>
          <w:numId w:val="13"/>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Predstavuje suma vlastného príspevku príjemcu najmenej 50 % nákladov na reštrukturalizáciu</w:t>
      </w:r>
      <w:r w:rsidRPr="00E9416A">
        <w:rPr>
          <w:rFonts w:ascii="Times New Roman" w:hAnsi="Times New Roman"/>
          <w:sz w:val="24"/>
          <w:szCs w:val="20"/>
          <w:vertAlign w:val="superscript"/>
          <w:lang w:val="sk-SK" w:eastAsia="sk-SK" w:bidi="sk-SK"/>
        </w:rPr>
        <w:footnoteReference w:id="12"/>
      </w:r>
      <w:r w:rsidRPr="00E9416A">
        <w:rPr>
          <w:rFonts w:ascii="Times New Roman" w:hAnsi="Times New Roman"/>
          <w:sz w:val="24"/>
          <w:szCs w:val="20"/>
          <w:lang w:val="sk-SK" w:eastAsia="sk-SK" w:bidi="sk-SK"/>
        </w:rPr>
        <w:t>?</w:t>
      </w:r>
    </w:p>
    <w:p w:rsidR="00E9416A" w:rsidRPr="00E9416A" w:rsidRDefault="00E9416A" w:rsidP="00E9416A">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nie</w:t>
      </w:r>
    </w:p>
    <w:p w:rsidR="00E9416A" w:rsidRPr="00E9416A" w:rsidRDefault="00E9416A" w:rsidP="00E9416A">
      <w:pPr>
        <w:numPr>
          <w:ilvl w:val="0"/>
          <w:numId w:val="13"/>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Opíšte a kvantifikujete jednotlivé kategórie nákladov na reštrukturalizáciu, ktoré vzniknú, uveďte ich celkovú výšku a určite percento nákladov na reštrukturalizáciu, na ktoré sa bude vzťahovať vlastný príspevok:</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numPr>
          <w:ilvl w:val="0"/>
          <w:numId w:val="13"/>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Opíšte a kvantifikujete vlastný príspevok na náklady na reštrukturalizáciu, ktorý bude poskytnutý z vlastných zdrojov príjemcu, jeho akcionárov alebo veriteľov alebo podnikateľskej skupiny, do ktorej patrí, alebo od nových investorov:</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numPr>
          <w:ilvl w:val="0"/>
          <w:numId w:val="13"/>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Vysvetlite, prečo sa domnievate, že tento vlastný príspevok bude skutočný a nebude obsahovať pomoc:</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lastRenderedPageBreak/>
        <w:tab/>
      </w:r>
    </w:p>
    <w:p w:rsidR="00E9416A" w:rsidRPr="00E9416A" w:rsidRDefault="00E9416A" w:rsidP="00E9416A">
      <w:pPr>
        <w:numPr>
          <w:ilvl w:val="0"/>
          <w:numId w:val="13"/>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Preukážte, že vlastný príspevok je porovnateľný s pomocou poskytovanou s cieľom vylepšiť platobnú alebo likvidnú pozíciu príjemcu</w:t>
      </w:r>
      <w:r w:rsidRPr="00E9416A">
        <w:rPr>
          <w:rFonts w:ascii="Times New Roman" w:hAnsi="Times New Roman"/>
          <w:sz w:val="24"/>
          <w:szCs w:val="20"/>
          <w:vertAlign w:val="superscript"/>
          <w:lang w:val="sk-SK" w:eastAsia="sk-SK" w:bidi="sk-SK"/>
        </w:rPr>
        <w:footnoteReference w:id="13"/>
      </w:r>
      <w:r w:rsidRPr="00E9416A">
        <w:rPr>
          <w:rFonts w:ascii="Times New Roman" w:hAnsi="Times New Roman"/>
          <w:sz w:val="24"/>
          <w:szCs w:val="20"/>
          <w:lang w:val="sk-SK" w:eastAsia="sk-SK" w:bidi="sk-SK"/>
        </w:rPr>
        <w:t>, a ak nie, vysvetlite prečo, prípadne uveďte odkaz na doplňujúce dokumenty (napr. súvahu, výkazy peňažných tokov):</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numPr>
          <w:ilvl w:val="1"/>
          <w:numId w:val="12"/>
        </w:numPr>
        <w:spacing w:before="120" w:after="0" w:line="240" w:lineRule="auto"/>
        <w:ind w:hanging="858"/>
        <w:contextualSpacing/>
        <w:jc w:val="both"/>
        <w:rPr>
          <w:rFonts w:ascii="Times New Roman" w:hAnsi="Times New Roman"/>
          <w:b/>
          <w:sz w:val="24"/>
          <w:szCs w:val="20"/>
          <w:lang w:val="sk-SK" w:eastAsia="sk-SK" w:bidi="sk-SK"/>
        </w:rPr>
      </w:pPr>
      <w:r w:rsidRPr="00E9416A">
        <w:rPr>
          <w:rFonts w:ascii="Times New Roman" w:hAnsi="Times New Roman"/>
          <w:b/>
          <w:sz w:val="24"/>
          <w:szCs w:val="20"/>
          <w:lang w:val="sk-SK" w:eastAsia="sk-SK" w:bidi="sk-SK"/>
        </w:rPr>
        <w:t>Rozdelenie bremena</w:t>
      </w:r>
    </w:p>
    <w:p w:rsidR="00E9416A" w:rsidRPr="00E9416A" w:rsidRDefault="00E9416A" w:rsidP="00E9416A">
      <w:pPr>
        <w:spacing w:before="120" w:after="120" w:line="240" w:lineRule="auto"/>
        <w:jc w:val="both"/>
        <w:rPr>
          <w:rFonts w:ascii="Times New Roman" w:hAnsi="Times New Roman"/>
          <w:b/>
          <w:sz w:val="24"/>
          <w:u w:val="single"/>
          <w:lang w:val="sk-SK"/>
        </w:rPr>
      </w:pPr>
    </w:p>
    <w:p w:rsidR="00E9416A" w:rsidRPr="00E9416A" w:rsidRDefault="00E9416A" w:rsidP="00E9416A">
      <w:pPr>
        <w:spacing w:before="120" w:after="120" w:line="240" w:lineRule="auto"/>
        <w:ind w:left="720"/>
        <w:jc w:val="both"/>
        <w:rPr>
          <w:rFonts w:ascii="Times New Roman" w:hAnsi="Times New Roman"/>
          <w:i/>
          <w:sz w:val="24"/>
          <w:lang w:val="sk-SK"/>
        </w:rPr>
      </w:pPr>
      <w:r w:rsidRPr="00E9416A">
        <w:rPr>
          <w:rFonts w:ascii="Times New Roman" w:hAnsi="Times New Roman"/>
          <w:i/>
          <w:sz w:val="24"/>
          <w:lang w:val="sk-SK"/>
        </w:rPr>
        <w:t>Vypĺňa sa v prípade štátnej pomoci, ktorá je poskytnutá vo forme, ktorá zlepšuje kapitálovú pozíciu príjemcu</w:t>
      </w:r>
      <w:r w:rsidRPr="00E9416A">
        <w:rPr>
          <w:rFonts w:ascii="Times New Roman" w:hAnsi="Times New Roman"/>
          <w:i/>
          <w:sz w:val="24"/>
          <w:vertAlign w:val="superscript"/>
          <w:lang w:val="sk-SK"/>
        </w:rPr>
        <w:footnoteReference w:id="14"/>
      </w:r>
      <w:r w:rsidRPr="00E9416A">
        <w:rPr>
          <w:rFonts w:ascii="Times New Roman" w:hAnsi="Times New Roman"/>
          <w:i/>
          <w:sz w:val="24"/>
          <w:lang w:val="sk-SK"/>
        </w:rPr>
        <w:t>:</w:t>
      </w:r>
    </w:p>
    <w:p w:rsidR="00E9416A" w:rsidRPr="00E9416A" w:rsidRDefault="00E9416A" w:rsidP="00E9416A">
      <w:pPr>
        <w:spacing w:before="120" w:after="120" w:line="240" w:lineRule="auto"/>
        <w:ind w:left="720"/>
        <w:jc w:val="both"/>
        <w:rPr>
          <w:rFonts w:ascii="Times New Roman" w:hAnsi="Times New Roman"/>
          <w:i/>
          <w:sz w:val="24"/>
          <w:lang w:val="sk-SK"/>
        </w:rPr>
      </w:pPr>
    </w:p>
    <w:p w:rsidR="00E9416A" w:rsidRPr="00E9416A" w:rsidRDefault="00E9416A" w:rsidP="00E9416A">
      <w:pPr>
        <w:numPr>
          <w:ilvl w:val="0"/>
          <w:numId w:val="14"/>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Boli straty príjemcu pomoci v plnom rozsahu zaúčtované a pripísané existujúcim akcionárom a/alebo podriadeným veriteľom, ktorí ich znášajú?</w:t>
      </w:r>
    </w:p>
    <w:p w:rsidR="00E9416A" w:rsidRPr="00E9416A" w:rsidRDefault="00E9416A" w:rsidP="00E9416A">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nie</w:t>
      </w:r>
    </w:p>
    <w:p w:rsidR="00E9416A" w:rsidRPr="00E9416A" w:rsidRDefault="00E9416A" w:rsidP="00E9416A">
      <w:pPr>
        <w:numPr>
          <w:ilvl w:val="0"/>
          <w:numId w:val="14"/>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Ak ste na otázku v písmene A odpovedali áno, predložte dôkazy na základe aktuálnej analýzy bilančnej situácie príjemcu.</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numPr>
          <w:ilvl w:val="0"/>
          <w:numId w:val="14"/>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Zabráni sa počas obdobia reštrukturalizácie odlivu hotovosti od príjemcu k držiteľom vlastného kapitálu a/alebo podriadeného dlhu?</w:t>
      </w:r>
    </w:p>
    <w:p w:rsidR="00E9416A" w:rsidRPr="00E9416A" w:rsidRDefault="00E9416A" w:rsidP="00E9416A">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nie</w:t>
      </w:r>
    </w:p>
    <w:p w:rsidR="00E9416A" w:rsidRPr="00E9416A" w:rsidRDefault="00E9416A" w:rsidP="00E9416A">
      <w:pPr>
        <w:numPr>
          <w:ilvl w:val="0"/>
          <w:numId w:val="14"/>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Ak je odpoveď na otázku v písmene C nie, uveďte dôvod (dôvody).</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numPr>
          <w:ilvl w:val="0"/>
          <w:numId w:val="14"/>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Získa štát primeraný podiel na budúcich ziskoch vyplývajúcich zo zvýšenia hodnoty príjemcu, s prihliadnutím na sumu vloženého štátneho kapitálu, v porovnaní so zostávajúcim vlastným imaním spoločnosti po zaúčtovaní strát?</w:t>
      </w:r>
    </w:p>
    <w:p w:rsidR="00E9416A" w:rsidRPr="00E9416A" w:rsidRDefault="00E9416A" w:rsidP="00E9416A">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nie</w:t>
      </w:r>
    </w:p>
    <w:p w:rsidR="00E9416A" w:rsidRPr="00E9416A" w:rsidRDefault="00E9416A" w:rsidP="00E9416A">
      <w:pPr>
        <w:numPr>
          <w:ilvl w:val="0"/>
          <w:numId w:val="14"/>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Ak je odpoveď na otázku v písmene E áno, odôvodnite odpoveď a v súlade s ňou predložte dôkaz.</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keepNext/>
        <w:numPr>
          <w:ilvl w:val="0"/>
          <w:numId w:val="14"/>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Ak straty príjemcov nie sú úplne absorbované (pozri písmeno A) a/alebo sa počas obdobia reštrukturalizácie (pozri písmeno C) nepredchádza odlivom hotovosti od príjemcu k držiteľom vlastného kapitálu a/alebo podriadenému dlhu, objasnite dôvody, najmä prečo by úplné vykonanie týchto podmienok viedlo k neprimeraným výsledkom.</w:t>
      </w:r>
    </w:p>
    <w:p w:rsidR="00E9416A" w:rsidRPr="00E9416A" w:rsidRDefault="00E9416A" w:rsidP="00E9416A">
      <w:pPr>
        <w:keepNext/>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numPr>
          <w:ilvl w:val="0"/>
          <w:numId w:val="14"/>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Prispievajú držitelia nadriadeného dlhu na obnovenie kapitálovej pozície príjemcu?</w:t>
      </w:r>
    </w:p>
    <w:p w:rsidR="00E9416A" w:rsidRPr="00E9416A" w:rsidRDefault="00E9416A" w:rsidP="00E9416A">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E9416A">
      <w:pPr>
        <w:numPr>
          <w:ilvl w:val="0"/>
          <w:numId w:val="14"/>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Ak je odpoveď na otázku v písmene H áno, objasnite, akým spôsobom prispejú držitelia nadradeného dlhu.</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spacing w:before="120" w:after="120" w:line="240" w:lineRule="auto"/>
        <w:ind w:left="720"/>
        <w:jc w:val="both"/>
        <w:rPr>
          <w:rFonts w:ascii="Times New Roman" w:hAnsi="Times New Roman"/>
          <w:sz w:val="24"/>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E9416A" w:rsidRPr="00E9416A" w:rsidTr="00DB370D">
        <w:tc>
          <w:tcPr>
            <w:tcW w:w="9214" w:type="dxa"/>
            <w:tcBorders>
              <w:top w:val="single" w:sz="4" w:space="0" w:color="auto"/>
              <w:left w:val="single" w:sz="4" w:space="0" w:color="auto"/>
              <w:bottom w:val="single" w:sz="4" w:space="0" w:color="auto"/>
              <w:right w:val="single" w:sz="4" w:space="0" w:color="auto"/>
            </w:tcBorders>
            <w:shd w:val="pct15" w:color="auto" w:fill="FFFFFF"/>
          </w:tcPr>
          <w:p w:rsidR="00E9416A" w:rsidRPr="00E9416A" w:rsidRDefault="00E9416A" w:rsidP="00E9416A">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E9416A">
              <w:rPr>
                <w:rFonts w:ascii="Times New Roman" w:eastAsia="Times New Roman" w:hAnsi="Times New Roman"/>
                <w:bCs/>
                <w:iCs/>
                <w:sz w:val="24"/>
                <w:lang w:val="sk-SK"/>
              </w:rPr>
              <w:br w:type="page"/>
            </w:r>
            <w:r w:rsidRPr="00E9416A">
              <w:rPr>
                <w:rFonts w:ascii="Times New Roman" w:eastAsia="Times New Roman" w:hAnsi="Times New Roman"/>
                <w:bCs/>
                <w:iCs/>
                <w:sz w:val="24"/>
                <w:lang w:val="sk-SK"/>
              </w:rPr>
              <w:br w:type="page"/>
              <w:t>Negatívne účinky</w:t>
            </w:r>
          </w:p>
        </w:tc>
      </w:tr>
    </w:tbl>
    <w:p w:rsidR="00E9416A" w:rsidRPr="00E9416A" w:rsidRDefault="00E9416A" w:rsidP="00E9416A">
      <w:pPr>
        <w:spacing w:before="120" w:after="120" w:line="240" w:lineRule="auto"/>
        <w:jc w:val="both"/>
        <w:rPr>
          <w:rFonts w:ascii="Times New Roman" w:hAnsi="Times New Roman"/>
          <w:sz w:val="24"/>
          <w:lang w:val="sk-SK"/>
        </w:rPr>
      </w:pPr>
    </w:p>
    <w:p w:rsidR="00E9416A" w:rsidRPr="00E9416A" w:rsidRDefault="00E9416A" w:rsidP="00E9416A">
      <w:pPr>
        <w:numPr>
          <w:ilvl w:val="1"/>
          <w:numId w:val="15"/>
        </w:numPr>
        <w:spacing w:before="120" w:after="0" w:line="240" w:lineRule="auto"/>
        <w:ind w:hanging="858"/>
        <w:contextualSpacing/>
        <w:jc w:val="both"/>
        <w:rPr>
          <w:rFonts w:ascii="Times New Roman" w:hAnsi="Times New Roman"/>
          <w:b/>
          <w:sz w:val="24"/>
          <w:szCs w:val="20"/>
          <w:lang w:val="sk-SK" w:eastAsia="sk-SK" w:bidi="sk-SK"/>
        </w:rPr>
      </w:pPr>
      <w:r w:rsidRPr="00E9416A">
        <w:rPr>
          <w:rFonts w:ascii="Times New Roman" w:hAnsi="Times New Roman"/>
          <w:b/>
          <w:sz w:val="24"/>
          <w:szCs w:val="20"/>
          <w:lang w:val="sk-SK" w:eastAsia="sk-SK" w:bidi="sk-SK"/>
        </w:rPr>
        <w:t>Zásada „jedenkrát a naposledy“</w:t>
      </w:r>
    </w:p>
    <w:p w:rsidR="00E9416A" w:rsidRPr="00E9416A" w:rsidRDefault="00E9416A" w:rsidP="00E9416A">
      <w:pPr>
        <w:spacing w:before="120" w:after="120" w:line="240" w:lineRule="auto"/>
        <w:jc w:val="both"/>
        <w:rPr>
          <w:rFonts w:ascii="Times New Roman" w:hAnsi="Times New Roman"/>
          <w:b/>
          <w:sz w:val="24"/>
          <w:lang w:val="sk-SK"/>
        </w:rPr>
      </w:pPr>
    </w:p>
    <w:p w:rsidR="00E9416A" w:rsidRPr="00E9416A" w:rsidRDefault="00E9416A" w:rsidP="00F946FF">
      <w:pPr>
        <w:spacing w:before="120" w:after="0" w:line="240" w:lineRule="auto"/>
        <w:ind w:left="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Dostal už podnik (alebo skupina, do ktorej patrí) akúkoľvek pomoc na záchranu, pomoc na reštrukturalizáciu alebo dočasnú podporu reštrukturalizácie</w:t>
      </w:r>
      <w:r w:rsidRPr="00E9416A">
        <w:rPr>
          <w:rFonts w:ascii="Times New Roman" w:hAnsi="Times New Roman"/>
          <w:sz w:val="24"/>
          <w:szCs w:val="20"/>
          <w:vertAlign w:val="superscript"/>
          <w:lang w:val="sk-SK" w:eastAsia="sk-SK" w:bidi="sk-SK"/>
        </w:rPr>
        <w:footnoteReference w:id="15"/>
      </w:r>
      <w:r w:rsidRPr="00E9416A">
        <w:rPr>
          <w:rFonts w:ascii="Times New Roman" w:hAnsi="Times New Roman"/>
          <w:sz w:val="24"/>
          <w:szCs w:val="20"/>
          <w:lang w:val="sk-SK" w:eastAsia="sk-SK" w:bidi="sk-SK"/>
        </w:rPr>
        <w:t xml:space="preserve"> a/alebo akúkoľvek nenotifikovanú pomoc?</w:t>
      </w:r>
    </w:p>
    <w:p w:rsidR="00E9416A" w:rsidRPr="00E9416A" w:rsidRDefault="00E9416A" w:rsidP="00E9416A">
      <w:pPr>
        <w:spacing w:before="100" w:beforeAutospacing="1" w:after="100" w:afterAutospacing="1" w:line="240" w:lineRule="auto"/>
        <w:ind w:left="1985"/>
        <w:jc w:val="both"/>
        <w:rPr>
          <w:rFonts w:ascii="Times New Roman" w:hAnsi="Times New Roman"/>
          <w:color w:val="000000"/>
          <w:sz w:val="15"/>
          <w:szCs w:val="24"/>
          <w:shd w:val="clear" w:color="auto" w:fill="FFFFFF"/>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F946FF">
      <w:pPr>
        <w:spacing w:before="120" w:after="0" w:line="240" w:lineRule="auto"/>
        <w:ind w:left="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Ak áno, uveďte všetky podrobnosti (dátum, suma, odkaz na predchádzajúce rozhodnutie Komisie, ak sa uplatňuje, atď.)</w:t>
      </w:r>
      <w:r w:rsidRPr="00E9416A">
        <w:rPr>
          <w:rFonts w:ascii="Times New Roman" w:hAnsi="Times New Roman"/>
          <w:sz w:val="24"/>
          <w:szCs w:val="20"/>
          <w:vertAlign w:val="superscript"/>
          <w:lang w:val="sk-SK" w:eastAsia="sk-SK" w:bidi="sk-SK"/>
        </w:rPr>
        <w:footnoteReference w:id="16"/>
      </w:r>
      <w:r w:rsidRPr="00E9416A">
        <w:rPr>
          <w:rFonts w:ascii="Times New Roman" w:hAnsi="Times New Roman"/>
          <w:sz w:val="24"/>
          <w:szCs w:val="20"/>
          <w:lang w:val="sk-SK" w:eastAsia="sk-SK" w:bidi="sk-SK"/>
        </w:rPr>
        <w:t>:</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spacing w:before="120" w:after="120" w:line="240" w:lineRule="auto"/>
        <w:ind w:left="720"/>
        <w:jc w:val="both"/>
        <w:rPr>
          <w:rFonts w:ascii="Times New Roman" w:hAnsi="Times New Roman"/>
          <w:sz w:val="24"/>
          <w:lang w:val="sk-SK"/>
        </w:rPr>
      </w:pPr>
    </w:p>
    <w:p w:rsidR="00E9416A" w:rsidRPr="00E9416A" w:rsidRDefault="00E9416A" w:rsidP="00E9416A">
      <w:pPr>
        <w:keepNext/>
        <w:numPr>
          <w:ilvl w:val="1"/>
          <w:numId w:val="15"/>
        </w:numPr>
        <w:spacing w:before="120" w:after="0" w:line="240" w:lineRule="auto"/>
        <w:ind w:left="856" w:hanging="856"/>
        <w:contextualSpacing/>
        <w:jc w:val="both"/>
        <w:rPr>
          <w:rFonts w:ascii="Times New Roman" w:hAnsi="Times New Roman"/>
          <w:b/>
          <w:sz w:val="24"/>
          <w:szCs w:val="20"/>
          <w:lang w:val="sk-SK" w:eastAsia="sk-SK" w:bidi="sk-SK"/>
        </w:rPr>
      </w:pPr>
      <w:r w:rsidRPr="00E9416A">
        <w:rPr>
          <w:rFonts w:ascii="Times New Roman" w:hAnsi="Times New Roman"/>
          <w:b/>
          <w:sz w:val="24"/>
          <w:szCs w:val="20"/>
          <w:lang w:val="sk-SK" w:eastAsia="sk-SK" w:bidi="sk-SK"/>
        </w:rPr>
        <w:t>Opatrenia na obmedzenie narušení hospodárskej súťaže:</w:t>
      </w:r>
    </w:p>
    <w:p w:rsidR="00E9416A" w:rsidRPr="00E9416A" w:rsidRDefault="00E9416A" w:rsidP="00E9416A">
      <w:pPr>
        <w:spacing w:before="120" w:after="120" w:line="240" w:lineRule="auto"/>
        <w:jc w:val="both"/>
        <w:rPr>
          <w:rFonts w:ascii="Times New Roman" w:hAnsi="Times New Roman"/>
          <w:b/>
          <w:sz w:val="24"/>
          <w:u w:val="single"/>
          <w:lang w:val="sk-SK"/>
        </w:rPr>
      </w:pPr>
    </w:p>
    <w:p w:rsidR="00E9416A" w:rsidRPr="00E9416A" w:rsidRDefault="00E9416A" w:rsidP="00E9416A">
      <w:pPr>
        <w:spacing w:before="120" w:after="120" w:line="240" w:lineRule="auto"/>
        <w:ind w:firstLine="720"/>
        <w:jc w:val="both"/>
        <w:rPr>
          <w:rFonts w:ascii="Times New Roman" w:hAnsi="Times New Roman"/>
          <w:i/>
          <w:sz w:val="24"/>
          <w:lang w:val="sk-SK"/>
        </w:rPr>
      </w:pPr>
      <w:r w:rsidRPr="00E9416A">
        <w:rPr>
          <w:rFonts w:ascii="Times New Roman" w:hAnsi="Times New Roman"/>
          <w:i/>
          <w:sz w:val="24"/>
          <w:lang w:val="sk-SK"/>
        </w:rPr>
        <w:t>Štrukturálne opatrenia – odčlenenie aktív a obmedzenie ekonomických činností</w:t>
      </w:r>
    </w:p>
    <w:p w:rsidR="00E9416A" w:rsidRPr="00E9416A" w:rsidRDefault="00E9416A" w:rsidP="00E9416A">
      <w:pPr>
        <w:spacing w:before="120" w:after="120" w:line="240" w:lineRule="auto"/>
        <w:ind w:firstLine="720"/>
        <w:jc w:val="both"/>
        <w:rPr>
          <w:rFonts w:ascii="Times New Roman" w:hAnsi="Times New Roman"/>
          <w:i/>
          <w:sz w:val="24"/>
          <w:lang w:val="sk-SK"/>
        </w:rPr>
      </w:pPr>
    </w:p>
    <w:p w:rsidR="00E9416A" w:rsidRPr="00E9416A" w:rsidRDefault="00E9416A" w:rsidP="00E9416A">
      <w:pPr>
        <w:numPr>
          <w:ilvl w:val="0"/>
          <w:numId w:val="17"/>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Opíšte odčlenenie aktív, zníženie kapacity alebo obmedzenie prítomnosti na trhu, ktoré majú byť vykonané. Preukážte, že odčlenenie aktív, odpisy a ukončenie stratových činností zahrnutých do záväzkov nie sú nevyhnutné na obnovenie dlhodobej životaschopnosti príjemcu pomoci. Okrem toho uveďte relevantné trhy, na ktorých bude toto odčlenenie aktív prebiehať, a jeho načasovanie</w:t>
      </w:r>
      <w:r w:rsidRPr="00E9416A">
        <w:rPr>
          <w:rFonts w:ascii="Times New Roman" w:hAnsi="Times New Roman"/>
          <w:sz w:val="24"/>
          <w:szCs w:val="20"/>
          <w:vertAlign w:val="superscript"/>
          <w:lang w:val="sk-SK" w:eastAsia="sk-SK" w:bidi="sk-SK"/>
        </w:rPr>
        <w:footnoteReference w:id="17"/>
      </w:r>
      <w:r w:rsidRPr="00E9416A">
        <w:rPr>
          <w:rFonts w:ascii="Times New Roman" w:hAnsi="Times New Roman"/>
          <w:sz w:val="24"/>
          <w:szCs w:val="20"/>
          <w:lang w:val="sk-SK" w:eastAsia="sk-SK" w:bidi="sk-SK"/>
        </w:rPr>
        <w:t>. Uveďte aj, či príjemca uľahčí takéto odčlenenie, napríklad prostredníctvom obmedzenia zdrojov na činnosti a súhlasom, že nebude získavať klientov odčleňovaného podnikania.</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numPr>
          <w:ilvl w:val="0"/>
          <w:numId w:val="17"/>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Ak majú štrukturálne opatrenia výnimočne iba formu odčlenenia aktív a nezahŕňajú vytvorenie životaschopného subjektu schopného konkurovať na trhu, preukážte, že žiadna iná forma štrukturálnych opatrení nie je uskutočniteľná alebo že iné štrukturálne opatrenia by vážne ohrozili ekonomickú životaschopnosť podniku:</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spacing w:before="120" w:after="120" w:line="240" w:lineRule="auto"/>
        <w:ind w:firstLine="720"/>
        <w:jc w:val="both"/>
        <w:rPr>
          <w:rFonts w:ascii="Times New Roman" w:hAnsi="Times New Roman"/>
          <w:i/>
          <w:sz w:val="24"/>
          <w:lang w:val="sk-SK"/>
        </w:rPr>
      </w:pPr>
    </w:p>
    <w:p w:rsidR="00E9416A" w:rsidRPr="00E9416A" w:rsidRDefault="00E9416A" w:rsidP="00E9416A">
      <w:pPr>
        <w:spacing w:before="120" w:after="120" w:line="240" w:lineRule="auto"/>
        <w:ind w:firstLine="720"/>
        <w:jc w:val="both"/>
        <w:rPr>
          <w:rFonts w:ascii="Times New Roman" w:hAnsi="Times New Roman"/>
          <w:i/>
          <w:sz w:val="24"/>
          <w:lang w:val="sk-SK"/>
        </w:rPr>
      </w:pPr>
      <w:r w:rsidRPr="00E9416A">
        <w:rPr>
          <w:rFonts w:ascii="Times New Roman" w:hAnsi="Times New Roman"/>
          <w:i/>
          <w:sz w:val="24"/>
          <w:lang w:val="sk-SK"/>
        </w:rPr>
        <w:t>Behaviorálne opatrenia</w:t>
      </w:r>
    </w:p>
    <w:p w:rsidR="00E9416A" w:rsidRPr="00E9416A" w:rsidRDefault="00E9416A" w:rsidP="00E9416A">
      <w:pPr>
        <w:spacing w:before="120" w:after="120" w:line="240" w:lineRule="auto"/>
        <w:ind w:firstLine="720"/>
        <w:jc w:val="both"/>
        <w:rPr>
          <w:rFonts w:ascii="Times New Roman" w:hAnsi="Times New Roman"/>
          <w:i/>
          <w:sz w:val="24"/>
          <w:lang w:val="sk-SK"/>
        </w:rPr>
      </w:pPr>
    </w:p>
    <w:p w:rsidR="00E9416A" w:rsidRPr="00E9416A" w:rsidRDefault="00E9416A" w:rsidP="00E9416A">
      <w:pPr>
        <w:numPr>
          <w:ilvl w:val="0"/>
          <w:numId w:val="17"/>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Súhlasí príjemca s tým, že sa zdrží nadobudnutia podielov v akejkoľvek spoločnosti počas obdobia reštrukturalizácie, s výnimkou prípadov, keď je to nevyhnutné na zabezpečenie jeho dlhodobej životaschopnosti, a v takom prípade pod podmienkou notifikácie tejto skutočnosti Komisii a jej schválenia Komisiou.</w:t>
      </w:r>
    </w:p>
    <w:p w:rsidR="00E9416A" w:rsidRPr="00E9416A" w:rsidRDefault="00E9416A" w:rsidP="00E9416A">
      <w:pPr>
        <w:spacing w:before="100" w:beforeAutospacing="1" w:after="100" w:afterAutospacing="1" w:line="240" w:lineRule="auto"/>
        <w:ind w:left="1985"/>
        <w:jc w:val="both"/>
        <w:rPr>
          <w:rFonts w:ascii="Times New Roman" w:hAnsi="Times New Roman"/>
          <w:sz w:val="24"/>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nie</w:t>
      </w:r>
    </w:p>
    <w:p w:rsidR="00E9416A" w:rsidRPr="00E9416A" w:rsidRDefault="00E9416A" w:rsidP="00E9416A">
      <w:pPr>
        <w:numPr>
          <w:ilvl w:val="0"/>
          <w:numId w:val="17"/>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Súhlasí príjemca s tým, že sa pri propagácii svojich výrobkov a služieb zdrží zverejňovania štátnej pomoci ako konkurenčnej výhody?</w:t>
      </w:r>
    </w:p>
    <w:p w:rsidR="00E9416A" w:rsidRPr="00E9416A" w:rsidRDefault="00E9416A" w:rsidP="00E9416A">
      <w:pPr>
        <w:spacing w:before="100" w:beforeAutospacing="1" w:after="100" w:afterAutospacing="1" w:line="240" w:lineRule="auto"/>
        <w:ind w:left="1985"/>
        <w:jc w:val="both"/>
        <w:rPr>
          <w:rFonts w:ascii="Times New Roman" w:hAnsi="Times New Roman"/>
          <w:sz w:val="24"/>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nie</w:t>
      </w:r>
    </w:p>
    <w:p w:rsidR="00E9416A" w:rsidRPr="00E9416A" w:rsidRDefault="00E9416A" w:rsidP="00E9416A">
      <w:pPr>
        <w:numPr>
          <w:ilvl w:val="0"/>
          <w:numId w:val="17"/>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Predpokladajú sa ďalšie behaviorálne opatrenia?</w:t>
      </w:r>
    </w:p>
    <w:p w:rsidR="00E9416A" w:rsidRPr="00E9416A" w:rsidRDefault="00E9416A" w:rsidP="00E9416A">
      <w:pPr>
        <w:spacing w:before="100" w:beforeAutospacing="1" w:after="100" w:afterAutospacing="1" w:line="240" w:lineRule="auto"/>
        <w:ind w:left="1985"/>
        <w:jc w:val="both"/>
        <w:rPr>
          <w:rFonts w:ascii="Times New Roman" w:hAnsi="Times New Roman"/>
          <w:sz w:val="24"/>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nie</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spacing w:before="120" w:after="120" w:line="240" w:lineRule="auto"/>
        <w:jc w:val="both"/>
        <w:rPr>
          <w:rFonts w:ascii="Times New Roman" w:hAnsi="Times New Roman"/>
          <w:sz w:val="24"/>
          <w:lang w:val="sk-SK"/>
        </w:rPr>
      </w:pPr>
    </w:p>
    <w:p w:rsidR="00E9416A" w:rsidRPr="00E9416A" w:rsidRDefault="00E9416A" w:rsidP="00E9416A">
      <w:pPr>
        <w:keepNext/>
        <w:spacing w:before="120" w:after="120" w:line="240" w:lineRule="auto"/>
        <w:ind w:firstLine="720"/>
        <w:jc w:val="both"/>
        <w:rPr>
          <w:rFonts w:ascii="Times New Roman" w:hAnsi="Times New Roman"/>
          <w:i/>
          <w:sz w:val="24"/>
          <w:lang w:val="sk-SK"/>
        </w:rPr>
      </w:pPr>
      <w:r w:rsidRPr="00E9416A">
        <w:rPr>
          <w:rFonts w:ascii="Times New Roman" w:hAnsi="Times New Roman"/>
          <w:i/>
          <w:sz w:val="24"/>
          <w:lang w:val="sk-SK"/>
        </w:rPr>
        <w:t>Opatrenia na otvorenie trhu</w:t>
      </w:r>
    </w:p>
    <w:p w:rsidR="00E9416A" w:rsidRPr="00E9416A" w:rsidRDefault="00E9416A" w:rsidP="00E9416A">
      <w:pPr>
        <w:spacing w:before="120" w:after="120" w:line="240" w:lineRule="auto"/>
        <w:ind w:firstLine="720"/>
        <w:jc w:val="both"/>
        <w:rPr>
          <w:rFonts w:ascii="Times New Roman" w:hAnsi="Times New Roman"/>
          <w:i/>
          <w:sz w:val="24"/>
          <w:lang w:val="sk-SK"/>
        </w:rPr>
      </w:pPr>
    </w:p>
    <w:p w:rsidR="00E9416A" w:rsidRPr="00E9416A" w:rsidRDefault="00E9416A" w:rsidP="00E9416A">
      <w:pPr>
        <w:numPr>
          <w:ilvl w:val="0"/>
          <w:numId w:val="17"/>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Príjmu vnútroštátne orgány alebo príjemca pomoci akékoľvek opatrenia s cieľom podporovať otvorenejšie, zdravšie a konkurenčnejšie trhy, napríklad tým, že zvýhodňujú vstup a výstup</w:t>
      </w:r>
      <w:r w:rsidRPr="00E9416A">
        <w:rPr>
          <w:rFonts w:ascii="Times New Roman" w:hAnsi="Times New Roman"/>
          <w:sz w:val="24"/>
          <w:szCs w:val="20"/>
          <w:vertAlign w:val="superscript"/>
          <w:lang w:val="sk-SK" w:eastAsia="sk-SK" w:bidi="sk-SK"/>
        </w:rPr>
        <w:footnoteReference w:id="18"/>
      </w:r>
      <w:r w:rsidRPr="00E9416A">
        <w:rPr>
          <w:rFonts w:ascii="Times New Roman" w:hAnsi="Times New Roman"/>
          <w:sz w:val="24"/>
          <w:szCs w:val="20"/>
          <w:lang w:val="sk-SK" w:eastAsia="sk-SK" w:bidi="sk-SK"/>
        </w:rPr>
        <w:t>?</w:t>
      </w:r>
    </w:p>
    <w:p w:rsidR="00E9416A" w:rsidRPr="00E9416A" w:rsidRDefault="00E9416A" w:rsidP="00E9416A">
      <w:pPr>
        <w:spacing w:before="100" w:beforeAutospacing="1" w:after="100" w:afterAutospacing="1" w:line="240" w:lineRule="auto"/>
        <w:ind w:left="1985"/>
        <w:jc w:val="both"/>
        <w:rPr>
          <w:rFonts w:ascii="Times New Roman" w:hAnsi="Times New Roman"/>
          <w:sz w:val="24"/>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nie</w:t>
      </w:r>
    </w:p>
    <w:p w:rsidR="00E9416A" w:rsidRPr="00E9416A" w:rsidRDefault="00E9416A" w:rsidP="00E9416A">
      <w:pPr>
        <w:numPr>
          <w:ilvl w:val="0"/>
          <w:numId w:val="17"/>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Ak je odpoveď na otázku v písmene F áno, opíšte, o aké opatrenia ide a na ktorom trhu, a uveďte, ako tieto opatrenia priamo alebo nepriamo súvisia s činnosťami príjemcu:</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spacing w:before="120" w:after="120" w:line="240" w:lineRule="auto"/>
        <w:ind w:left="720"/>
        <w:jc w:val="both"/>
        <w:rPr>
          <w:rFonts w:ascii="Times New Roman" w:hAnsi="Times New Roman"/>
          <w:sz w:val="24"/>
          <w:lang w:val="sk-SK"/>
        </w:rPr>
      </w:pPr>
    </w:p>
    <w:p w:rsidR="00E9416A" w:rsidRPr="00E9416A" w:rsidRDefault="00E9416A" w:rsidP="00E9416A">
      <w:pPr>
        <w:spacing w:before="120" w:after="120" w:line="240" w:lineRule="auto"/>
        <w:ind w:firstLine="720"/>
        <w:jc w:val="both"/>
        <w:rPr>
          <w:rFonts w:ascii="Times New Roman" w:hAnsi="Times New Roman"/>
          <w:i/>
          <w:sz w:val="24"/>
          <w:lang w:val="sk-SK"/>
        </w:rPr>
      </w:pPr>
      <w:r w:rsidRPr="00E9416A">
        <w:rPr>
          <w:rFonts w:ascii="Times New Roman" w:hAnsi="Times New Roman"/>
          <w:i/>
          <w:sz w:val="24"/>
          <w:lang w:val="sk-SK"/>
        </w:rPr>
        <w:t>Kalibrácia opatrení na obmedzenie narušení hospodárskej súťaže</w:t>
      </w:r>
    </w:p>
    <w:p w:rsidR="00E9416A" w:rsidRPr="00E9416A" w:rsidRDefault="00E9416A" w:rsidP="00E9416A">
      <w:pPr>
        <w:spacing w:before="120" w:after="120" w:line="240" w:lineRule="auto"/>
        <w:ind w:firstLine="720"/>
        <w:jc w:val="both"/>
        <w:rPr>
          <w:rFonts w:ascii="Times New Roman" w:hAnsi="Times New Roman"/>
          <w:i/>
          <w:sz w:val="24"/>
          <w:lang w:val="sk-SK"/>
        </w:rPr>
      </w:pPr>
    </w:p>
    <w:p w:rsidR="00E9416A" w:rsidRPr="00E9416A" w:rsidRDefault="00E9416A" w:rsidP="00E9416A">
      <w:pPr>
        <w:numPr>
          <w:ilvl w:val="0"/>
          <w:numId w:val="17"/>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Je akákoľvek pomoc určená na pokrytie sociálnych nákladov na reštrukturalizáciu</w:t>
      </w:r>
      <w:r w:rsidRPr="00E9416A">
        <w:rPr>
          <w:rFonts w:ascii="Times New Roman" w:hAnsi="Times New Roman"/>
          <w:sz w:val="24"/>
          <w:szCs w:val="20"/>
          <w:vertAlign w:val="superscript"/>
          <w:lang w:val="sk-SK" w:eastAsia="sk-SK" w:bidi="sk-SK"/>
        </w:rPr>
        <w:footnoteReference w:id="19"/>
      </w:r>
      <w:r w:rsidRPr="00E9416A">
        <w:rPr>
          <w:rFonts w:ascii="Times New Roman" w:hAnsi="Times New Roman"/>
          <w:sz w:val="24"/>
          <w:szCs w:val="20"/>
          <w:lang w:val="sk-SK" w:eastAsia="sk-SK" w:bidi="sk-SK"/>
        </w:rPr>
        <w:t>?</w:t>
      </w:r>
    </w:p>
    <w:p w:rsidR="00E9416A" w:rsidRPr="00E9416A" w:rsidRDefault="00E9416A" w:rsidP="00E9416A">
      <w:pPr>
        <w:spacing w:before="100" w:beforeAutospacing="1" w:after="100" w:afterAutospacing="1" w:line="240" w:lineRule="auto"/>
        <w:ind w:left="1985"/>
        <w:jc w:val="both"/>
        <w:rPr>
          <w:rFonts w:ascii="Times New Roman" w:hAnsi="Times New Roman"/>
          <w:sz w:val="24"/>
          <w:lang w:val="sk-SK"/>
        </w:rPr>
      </w:pP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áno </w:t>
      </w:r>
      <w:r w:rsidRPr="00E9416A">
        <w:rPr>
          <w:rFonts w:ascii="Times New Roman" w:hAnsi="Times New Roman"/>
          <w:sz w:val="24"/>
          <w:lang w:val="sk-SK"/>
        </w:rPr>
        <w:tab/>
      </w:r>
      <w:r w:rsidRPr="00E9416A">
        <w:rPr>
          <w:rFonts w:ascii="Times New Roman" w:hAnsi="Times New Roman"/>
          <w:sz w:val="24"/>
          <w:lang w:val="sk-SK"/>
        </w:rPr>
        <w:tab/>
        <w:t xml:space="preserve"> </w:t>
      </w:r>
      <w:r w:rsidRPr="00E9416A">
        <w:rPr>
          <w:rFonts w:ascii="Times New Roman" w:hAnsi="Times New Roman"/>
          <w:sz w:val="24"/>
          <w:lang w:val="sk-SK"/>
        </w:rPr>
        <w:fldChar w:fldCharType="begin">
          <w:ffData>
            <w:name w:val="Check1"/>
            <w:enabled/>
            <w:calcOnExit w:val="0"/>
            <w:checkBox>
              <w:sizeAuto/>
              <w:default w:val="0"/>
            </w:checkBox>
          </w:ffData>
        </w:fldChar>
      </w:r>
      <w:r w:rsidRPr="00E9416A">
        <w:rPr>
          <w:rFonts w:ascii="Times New Roman" w:hAnsi="Times New Roman"/>
          <w:sz w:val="24"/>
          <w:lang w:val="sk-SK"/>
        </w:rPr>
        <w:instrText xml:space="preserve"> FORMCHECKBOX </w:instrText>
      </w:r>
      <w:r w:rsidRPr="00E9416A">
        <w:rPr>
          <w:rFonts w:ascii="Times New Roman" w:hAnsi="Times New Roman"/>
          <w:sz w:val="24"/>
          <w:lang w:val="sk-SK"/>
        </w:rPr>
      </w:r>
      <w:r w:rsidRPr="00E9416A">
        <w:rPr>
          <w:rFonts w:ascii="Times New Roman" w:hAnsi="Times New Roman"/>
          <w:sz w:val="24"/>
          <w:lang w:val="sk-SK"/>
        </w:rPr>
        <w:fldChar w:fldCharType="separate"/>
      </w:r>
      <w:r w:rsidRPr="00E9416A">
        <w:rPr>
          <w:rFonts w:ascii="Times New Roman" w:hAnsi="Times New Roman"/>
          <w:sz w:val="24"/>
          <w:lang w:val="sk-SK"/>
        </w:rPr>
        <w:fldChar w:fldCharType="end"/>
      </w:r>
      <w:r w:rsidRPr="00E9416A">
        <w:rPr>
          <w:rFonts w:ascii="Times New Roman" w:hAnsi="Times New Roman"/>
          <w:sz w:val="24"/>
          <w:lang w:val="sk-SK"/>
        </w:rPr>
        <w:tab/>
        <w:t xml:space="preserve"> nie</w:t>
      </w:r>
    </w:p>
    <w:p w:rsidR="00E9416A" w:rsidRPr="00E9416A" w:rsidRDefault="00E9416A" w:rsidP="00E9416A">
      <w:pPr>
        <w:numPr>
          <w:ilvl w:val="0"/>
          <w:numId w:val="17"/>
        </w:numPr>
        <w:spacing w:before="120" w:after="0" w:line="240" w:lineRule="auto"/>
        <w:ind w:hanging="720"/>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Ak je odpoveď na otázku v písmene H áno, konkretizujte:</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spacing w:before="120" w:after="120" w:line="240" w:lineRule="auto"/>
        <w:jc w:val="both"/>
        <w:rPr>
          <w:rFonts w:ascii="Times New Roman" w:hAnsi="Times New Roman"/>
          <w:sz w:val="24"/>
          <w:lang w:val="sk-SK"/>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14"/>
      </w:tblGrid>
      <w:tr w:rsidR="00E9416A" w:rsidRPr="00E9416A" w:rsidTr="00DB370D">
        <w:tc>
          <w:tcPr>
            <w:tcW w:w="9214" w:type="dxa"/>
            <w:tcBorders>
              <w:top w:val="single" w:sz="4" w:space="0" w:color="auto"/>
              <w:left w:val="single" w:sz="4" w:space="0" w:color="auto"/>
              <w:bottom w:val="single" w:sz="4" w:space="0" w:color="auto"/>
              <w:right w:val="single" w:sz="4" w:space="0" w:color="auto"/>
            </w:tcBorders>
            <w:shd w:val="pct15" w:color="auto" w:fill="FFFFFF"/>
          </w:tcPr>
          <w:p w:rsidR="00E9416A" w:rsidRPr="00E9416A" w:rsidRDefault="00E9416A" w:rsidP="00E9416A">
            <w:pPr>
              <w:keepNext/>
              <w:numPr>
                <w:ilvl w:val="0"/>
                <w:numId w:val="1"/>
              </w:numPr>
              <w:tabs>
                <w:tab w:val="left" w:pos="720"/>
                <w:tab w:val="left" w:pos="1077"/>
                <w:tab w:val="left" w:pos="1440"/>
                <w:tab w:val="left" w:pos="1797"/>
              </w:tabs>
              <w:spacing w:before="240" w:after="240" w:line="240" w:lineRule="auto"/>
              <w:jc w:val="center"/>
              <w:outlineLvl w:val="3"/>
              <w:rPr>
                <w:rFonts w:ascii="Times New Roman" w:eastAsia="Times New Roman" w:hAnsi="Times New Roman"/>
                <w:bCs/>
                <w:i/>
                <w:iCs/>
                <w:sz w:val="24"/>
                <w:lang w:val="sk-SK"/>
              </w:rPr>
            </w:pPr>
            <w:r w:rsidRPr="00E9416A">
              <w:rPr>
                <w:rFonts w:ascii="Times New Roman" w:eastAsia="Times New Roman" w:hAnsi="Times New Roman"/>
                <w:bCs/>
                <w:iCs/>
                <w:sz w:val="24"/>
                <w:lang w:val="sk-SK"/>
              </w:rPr>
              <w:br w:type="page"/>
            </w:r>
            <w:r w:rsidRPr="00E9416A">
              <w:rPr>
                <w:rFonts w:ascii="Times New Roman" w:eastAsia="Times New Roman" w:hAnsi="Times New Roman"/>
                <w:bCs/>
                <w:iCs/>
                <w:sz w:val="24"/>
                <w:lang w:val="sk-SK"/>
              </w:rPr>
              <w:br w:type="page"/>
              <w:t>ĎALŠIE INFORMÁCIE</w:t>
            </w:r>
          </w:p>
        </w:tc>
      </w:tr>
    </w:tbl>
    <w:p w:rsidR="00E9416A" w:rsidRPr="00E9416A" w:rsidRDefault="00E9416A" w:rsidP="00E9416A">
      <w:pPr>
        <w:spacing w:before="120" w:after="120" w:line="240" w:lineRule="auto"/>
        <w:ind w:left="720" w:hanging="720"/>
        <w:jc w:val="both"/>
        <w:rPr>
          <w:rFonts w:ascii="Times New Roman" w:hAnsi="Times New Roman"/>
          <w:sz w:val="24"/>
          <w:lang w:val="sk-SK"/>
        </w:rPr>
      </w:pPr>
    </w:p>
    <w:p w:rsidR="00E9416A" w:rsidRPr="00E9416A" w:rsidRDefault="00E9416A" w:rsidP="00E9416A">
      <w:pPr>
        <w:numPr>
          <w:ilvl w:val="1"/>
          <w:numId w:val="18"/>
        </w:numPr>
        <w:spacing w:before="120" w:after="0" w:line="240" w:lineRule="auto"/>
        <w:ind w:hanging="858"/>
        <w:contextualSpacing/>
        <w:jc w:val="both"/>
        <w:rPr>
          <w:rFonts w:ascii="Times New Roman" w:hAnsi="Times New Roman"/>
          <w:sz w:val="24"/>
          <w:szCs w:val="20"/>
          <w:lang w:val="sk-SK" w:eastAsia="sk-SK" w:bidi="sk-SK"/>
        </w:rPr>
      </w:pPr>
      <w:r w:rsidRPr="00E9416A">
        <w:rPr>
          <w:rFonts w:ascii="Times New Roman" w:hAnsi="Times New Roman"/>
          <w:sz w:val="24"/>
          <w:szCs w:val="20"/>
          <w:lang w:val="sk-SK" w:eastAsia="sk-SK" w:bidi="sk-SK"/>
        </w:rPr>
        <w:t>Uveďte akékoľvek iné informácie, ktoré považujete za relevantné na posúdenie príslušného opatrenia (príslušných opatrení) pomoci podľa usmernení (napr. informácie, ktoré sa týkajú opatrení na zvýšenie zamestnateľnosti prepustených pracovníkov alebo pomoci pri hľadaní nového zamestnania):</w:t>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E9416A" w:rsidRPr="00E9416A" w:rsidRDefault="00E9416A" w:rsidP="00E9416A">
      <w:pPr>
        <w:tabs>
          <w:tab w:val="left" w:leader="dot" w:pos="9072"/>
        </w:tabs>
        <w:spacing w:after="0" w:line="240" w:lineRule="auto"/>
        <w:ind w:left="709"/>
        <w:contextualSpacing/>
        <w:rPr>
          <w:rFonts w:ascii="Times New Roman" w:hAnsi="Times New Roman"/>
          <w:sz w:val="24"/>
          <w:szCs w:val="20"/>
          <w:lang w:val="sk-SK" w:eastAsia="sk-SK" w:bidi="sk-SK"/>
        </w:rPr>
      </w:pPr>
      <w:r w:rsidRPr="00E9416A">
        <w:rPr>
          <w:rFonts w:ascii="Times New Roman" w:hAnsi="Times New Roman"/>
          <w:sz w:val="24"/>
          <w:szCs w:val="20"/>
          <w:lang w:val="sk-SK" w:eastAsia="sk-SK" w:bidi="sk-SK"/>
        </w:rPr>
        <w:tab/>
      </w:r>
    </w:p>
    <w:p w:rsidR="00DB370D" w:rsidRPr="00E9416A" w:rsidRDefault="00DB370D" w:rsidP="00E9416A">
      <w:pPr>
        <w:spacing w:before="120" w:after="120" w:line="240" w:lineRule="auto"/>
        <w:jc w:val="both"/>
        <w:rPr>
          <w:rFonts w:ascii="Times New Roman" w:hAnsi="Times New Roman"/>
          <w:sz w:val="24"/>
          <w:lang w:val="sk-SK"/>
        </w:rPr>
      </w:pPr>
    </w:p>
    <w:sectPr w:rsidR="00DB370D" w:rsidRPr="00E9416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F54" w:rsidRDefault="003B0F54" w:rsidP="00E9416A">
      <w:pPr>
        <w:spacing w:after="0" w:line="240" w:lineRule="auto"/>
      </w:pPr>
      <w:r>
        <w:separator/>
      </w:r>
    </w:p>
  </w:endnote>
  <w:endnote w:type="continuationSeparator" w:id="0">
    <w:p w:rsidR="003B0F54" w:rsidRDefault="003B0F54" w:rsidP="00E94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16A" w:rsidRDefault="00E9416A">
    <w:pPr>
      <w:pStyle w:val="Pta"/>
      <w:jc w:val="center"/>
    </w:pPr>
    <w:r>
      <w:fldChar w:fldCharType="begin"/>
    </w:r>
    <w:r>
      <w:instrText xml:space="preserve"> PAGE   \* MERGEFORMAT </w:instrText>
    </w:r>
    <w:r>
      <w:fldChar w:fldCharType="separate"/>
    </w:r>
    <w:r w:rsidR="00B8712D">
      <w:rPr>
        <w:noProof/>
      </w:rPr>
      <w:t>2</w:t>
    </w:r>
    <w:r>
      <w:rPr>
        <w:noProof/>
      </w:rPr>
      <w:fldChar w:fldCharType="end"/>
    </w:r>
  </w:p>
  <w:p w:rsidR="00E9416A" w:rsidRDefault="00E9416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F54" w:rsidRDefault="003B0F54" w:rsidP="00E9416A">
      <w:pPr>
        <w:spacing w:after="0" w:line="240" w:lineRule="auto"/>
      </w:pPr>
      <w:r>
        <w:separator/>
      </w:r>
    </w:p>
  </w:footnote>
  <w:footnote w:type="continuationSeparator" w:id="0">
    <w:p w:rsidR="003B0F54" w:rsidRDefault="003B0F54" w:rsidP="00E9416A">
      <w:pPr>
        <w:spacing w:after="0" w:line="240" w:lineRule="auto"/>
      </w:pPr>
      <w:r>
        <w:continuationSeparator/>
      </w:r>
    </w:p>
  </w:footnote>
  <w:footnote w:id="1">
    <w:p w:rsidR="00E9416A" w:rsidRPr="00DE66D5" w:rsidRDefault="00E9416A" w:rsidP="00E9416A">
      <w:pPr>
        <w:pStyle w:val="Textpoznmkypodiarou"/>
        <w:rPr>
          <w:sz w:val="18"/>
          <w:szCs w:val="18"/>
        </w:rPr>
      </w:pPr>
      <w:r w:rsidRPr="00DE66D5">
        <w:rPr>
          <w:rStyle w:val="Odkaznapoznmkupodiarou"/>
        </w:rPr>
        <w:footnoteRef/>
      </w:r>
      <w:r w:rsidRPr="00DE66D5">
        <w:t xml:space="preserve"> </w:t>
      </w:r>
      <w:r w:rsidRPr="00DE66D5">
        <w:tab/>
      </w:r>
      <w:r w:rsidRPr="00DE66D5">
        <w:rPr>
          <w:sz w:val="18"/>
        </w:rPr>
        <w:t>Ú. v. EÚ C 249, 31.7.2014, s. 1.</w:t>
      </w:r>
    </w:p>
  </w:footnote>
  <w:footnote w:id="2">
    <w:p w:rsidR="00E9416A" w:rsidRPr="00DE66D5" w:rsidRDefault="00E9416A" w:rsidP="00E9416A">
      <w:pPr>
        <w:pStyle w:val="Textpoznmkypodiarou"/>
        <w:rPr>
          <w:sz w:val="18"/>
          <w:szCs w:val="18"/>
        </w:rPr>
      </w:pPr>
      <w:r w:rsidRPr="00DE66D5">
        <w:rPr>
          <w:rStyle w:val="Odkaznapoznmkupodiarou"/>
        </w:rPr>
        <w:footnoteRef/>
      </w:r>
      <w:r w:rsidRPr="00DE66D5">
        <w:rPr>
          <w:sz w:val="18"/>
        </w:rPr>
        <w:t xml:space="preserve"> </w:t>
      </w:r>
      <w:r w:rsidRPr="00DE66D5">
        <w:tab/>
      </w:r>
      <w:r w:rsidRPr="00DE66D5">
        <w:rPr>
          <w:sz w:val="18"/>
        </w:rPr>
        <w:t>Toto sa vzťahuje predovšetkým na druhy spoločností uvedené v prílohe I k smernici Európskeho parlamentu a Rady 2013/34/EÚ z 26. júna 2013 o ročných účtovných závierkach, konsolidovaných účtovných závierkach a súvisiacich správach určitých druhov podnikov, ktorou sa mení smernica Európskeho parlamentu a Rady 2006/43/ES a zrušujú smernice Rady 78/660/EHS a 83/349/EHS (Ú. v. EÚ L 182, 29.6.2013, s. 19).</w:t>
      </w:r>
    </w:p>
  </w:footnote>
  <w:footnote w:id="3">
    <w:p w:rsidR="00E9416A" w:rsidRPr="00DE66D5" w:rsidRDefault="00E9416A" w:rsidP="00E9416A">
      <w:pPr>
        <w:pStyle w:val="Textpoznmkypodiarou"/>
        <w:rPr>
          <w:sz w:val="18"/>
          <w:szCs w:val="18"/>
        </w:rPr>
      </w:pPr>
      <w:r w:rsidRPr="00DE66D5">
        <w:rPr>
          <w:rStyle w:val="Odkaznapoznmkupodiarou"/>
        </w:rPr>
        <w:footnoteRef/>
      </w:r>
      <w:r w:rsidRPr="00DE66D5">
        <w:t xml:space="preserve"> </w:t>
      </w:r>
      <w:r w:rsidRPr="00DE66D5">
        <w:tab/>
      </w:r>
      <w:r w:rsidRPr="00DE66D5">
        <w:rPr>
          <w:sz w:val="18"/>
        </w:rPr>
        <w:t>Ide o prípad, keď odpočet akumulovaných strát z rezerv (a všetkých ostatných prvkov všeobecne považovaných za súčasť vlastných zdrojov spoločnosti) vedie k zápornej súhrnnej sume, ktorá prevyšuje polovicu upísaného základného imania.</w:t>
      </w:r>
    </w:p>
  </w:footnote>
  <w:footnote w:id="4">
    <w:p w:rsidR="00E9416A" w:rsidRPr="00DE66D5" w:rsidRDefault="00E9416A" w:rsidP="00E9416A">
      <w:pPr>
        <w:pStyle w:val="Textpoznmkypodiarou"/>
      </w:pPr>
      <w:r w:rsidRPr="00DE66D5">
        <w:rPr>
          <w:rStyle w:val="Odkaznapoznmkupodiarou"/>
        </w:rPr>
        <w:footnoteRef/>
      </w:r>
      <w:r w:rsidRPr="00DE66D5">
        <w:t xml:space="preserve"> </w:t>
      </w:r>
      <w:r w:rsidRPr="00DE66D5">
        <w:tab/>
      </w:r>
      <w:r w:rsidRPr="00DE66D5">
        <w:rPr>
          <w:sz w:val="18"/>
        </w:rPr>
        <w:t>Toto sa vzťahuje predovšetkým na druhy spoločností uvedené v prílohe II k smernici 2013/34/EÚ.</w:t>
      </w:r>
    </w:p>
  </w:footnote>
  <w:footnote w:id="5">
    <w:p w:rsidR="00E9416A" w:rsidRPr="00DE66D5" w:rsidRDefault="00E9416A" w:rsidP="00E9416A">
      <w:pPr>
        <w:pStyle w:val="Textpoznmkypodiarou"/>
        <w:rPr>
          <w:sz w:val="18"/>
          <w:szCs w:val="18"/>
        </w:rPr>
      </w:pPr>
      <w:r w:rsidRPr="00DE66D5">
        <w:rPr>
          <w:rStyle w:val="Odkaznapoznmkupodiarou"/>
        </w:rPr>
        <w:footnoteRef/>
      </w:r>
      <w:r w:rsidRPr="00DE66D5">
        <w:t xml:space="preserve"> </w:t>
      </w:r>
      <w:r w:rsidRPr="00DE66D5">
        <w:tab/>
      </w:r>
      <w:r w:rsidRPr="00DE66D5">
        <w:rPr>
          <w:sz w:val="18"/>
        </w:rPr>
        <w:t>Ako sa vymedzuje v rozhodnutí č. 2010/787/EÚ.</w:t>
      </w:r>
    </w:p>
  </w:footnote>
  <w:footnote w:id="6">
    <w:p w:rsidR="00E9416A" w:rsidRPr="00DE66D5" w:rsidRDefault="00E9416A" w:rsidP="00E9416A">
      <w:pPr>
        <w:pStyle w:val="Textpoznmkypodiarou"/>
        <w:rPr>
          <w:sz w:val="18"/>
          <w:szCs w:val="18"/>
        </w:rPr>
      </w:pPr>
      <w:r w:rsidRPr="00DE66D5">
        <w:rPr>
          <w:rStyle w:val="Odkaznapoznmkupodiarou"/>
        </w:rPr>
        <w:footnoteRef/>
      </w:r>
      <w:r w:rsidRPr="00DE66D5">
        <w:rPr>
          <w:sz w:val="18"/>
        </w:rPr>
        <w:t xml:space="preserve"> </w:t>
      </w:r>
      <w:r w:rsidRPr="00DE66D5">
        <w:tab/>
      </w:r>
      <w:r w:rsidRPr="00DE66D5">
        <w:rPr>
          <w:sz w:val="18"/>
        </w:rPr>
        <w:t>Ako sa vymedzuje v prílohe IV k oznámeniu Komisie: Usmernenia o regionálnej štátnej pomoci na roky 2014 – 2020 (Ú. v. EÚ C 209, 23.7.2013, s. 1).</w:t>
      </w:r>
    </w:p>
  </w:footnote>
  <w:footnote w:id="7">
    <w:p w:rsidR="00E9416A" w:rsidRPr="00DE66D5" w:rsidRDefault="00E9416A" w:rsidP="00E9416A">
      <w:pPr>
        <w:pStyle w:val="Textpoznmkypodiarou"/>
        <w:rPr>
          <w:sz w:val="18"/>
          <w:szCs w:val="18"/>
        </w:rPr>
      </w:pPr>
      <w:r w:rsidRPr="00DE66D5">
        <w:rPr>
          <w:rStyle w:val="Odkaznapoznmkupodiarou"/>
        </w:rPr>
        <w:footnoteRef/>
      </w:r>
      <w:r w:rsidRPr="00DE66D5">
        <w:rPr>
          <w:sz w:val="18"/>
        </w:rPr>
        <w:t xml:space="preserve"> </w:t>
      </w:r>
      <w:r w:rsidRPr="00DE66D5">
        <w:tab/>
      </w:r>
      <w:r w:rsidRPr="00DE66D5">
        <w:rPr>
          <w:sz w:val="18"/>
        </w:rPr>
        <w:t>Oznámenie Komisie o uplatňovaní pravidiel štátnej pomoci na podporné opatrenia v prospech bánk v súvislosti s finančnou krízou od 1. augusta 2013 („oznámenie o bankovníctve“) (Ú. v. EÚ C 216, 30.7.2013, s. 1).</w:t>
      </w:r>
    </w:p>
  </w:footnote>
  <w:footnote w:id="8">
    <w:p w:rsidR="00E9416A" w:rsidRPr="00DE66D5" w:rsidRDefault="00E9416A" w:rsidP="00E9416A">
      <w:pPr>
        <w:pStyle w:val="Textpoznmkypodiarou"/>
        <w:rPr>
          <w:sz w:val="18"/>
          <w:szCs w:val="18"/>
        </w:rPr>
      </w:pPr>
      <w:r w:rsidRPr="00DE66D5">
        <w:rPr>
          <w:rStyle w:val="Odkaznapoznmkupodiarou"/>
        </w:rPr>
        <w:footnoteRef/>
      </w:r>
      <w:r w:rsidRPr="00DE66D5">
        <w:t xml:space="preserve"> </w:t>
      </w:r>
      <w:r w:rsidRPr="00DE66D5">
        <w:tab/>
      </w:r>
      <w:r w:rsidRPr="00DE66D5">
        <w:rPr>
          <w:sz w:val="18"/>
        </w:rPr>
        <w:t>Reštrukturalizácia môže zahŕňať jeden alebo niekoľko nasledujúcich prvkov:  reorganizáciu a racionalizáciu činností príjemcu na efektívnejšej báze , pre ktorú je typické zanechanie stratových činností, reštrukturalizáciu takých existujúcich činností, ktoré sa môžu opäť stať konkurencieschopnými, a prípadne diverzifikáciu orientovanú na nové a životaschopné činnosti. Obvykle zahŕňa aj finančnú reštrukturalizáciu vo forme kapitálových injekcií zo strany nových alebo existujúcich akcionárov a zníženie dlhu zo strany existujúcich veriteľov.</w:t>
      </w:r>
    </w:p>
  </w:footnote>
  <w:footnote w:id="9">
    <w:p w:rsidR="00E9416A" w:rsidRPr="00DE66D5" w:rsidRDefault="00E9416A" w:rsidP="00E9416A">
      <w:pPr>
        <w:pStyle w:val="Textpoznmkypodiarou"/>
        <w:rPr>
          <w:sz w:val="18"/>
          <w:szCs w:val="18"/>
        </w:rPr>
      </w:pPr>
      <w:r w:rsidRPr="00DE66D5">
        <w:rPr>
          <w:rStyle w:val="Odkaznapoznmkupodiarou"/>
        </w:rPr>
        <w:footnoteRef/>
      </w:r>
      <w:r w:rsidRPr="00DE66D5">
        <w:t xml:space="preserve"> </w:t>
      </w:r>
      <w:r w:rsidRPr="00DE66D5">
        <w:tab/>
      </w:r>
      <w:r w:rsidRPr="00DE66D5">
        <w:rPr>
          <w:sz w:val="18"/>
        </w:rPr>
        <w:t>Dlhodobá životaschopnosť je dosiahnutá, keď podnik dokáže poskytovať primeranú návratnosť kapitálu a pritom pokryť všetky svoje náklady vrátane odpisov a finančných poplatkov. Reštrukturalizovaný podnik by mal byť schopný obstáť v konkurencii na trhu vlastnými silami.</w:t>
      </w:r>
    </w:p>
  </w:footnote>
  <w:footnote w:id="10">
    <w:p w:rsidR="00E9416A" w:rsidRPr="00DE66D5" w:rsidRDefault="00E9416A" w:rsidP="00E9416A">
      <w:pPr>
        <w:pStyle w:val="Textpoznmkypodiarou"/>
      </w:pPr>
      <w:r w:rsidRPr="00DE66D5">
        <w:rPr>
          <w:rStyle w:val="Odkaznapoznmkupodiarou"/>
        </w:rPr>
        <w:footnoteRef/>
      </w:r>
      <w:r w:rsidRPr="00DE66D5">
        <w:t xml:space="preserve"> </w:t>
      </w:r>
      <w:r w:rsidRPr="00DE66D5">
        <w:tab/>
      </w:r>
      <w:r w:rsidRPr="00DE66D5">
        <w:rPr>
          <w:sz w:val="18"/>
        </w:rPr>
        <w:t>Alternatívny scenár sa môže vzťahovať napríklad na: reorganizáciu dlhu, vyradenie majetku, vlastné navýšenie kapitálu, predaj konkurencii alebo rozdelenie, v každom prípade buď prostredníctvom vstupu do konkurzného konania, alebo začatím reorganizačného postupu alebo inak.</w:t>
      </w:r>
    </w:p>
  </w:footnote>
  <w:footnote w:id="11">
    <w:p w:rsidR="00E9416A" w:rsidRPr="00DE66D5" w:rsidRDefault="00E9416A" w:rsidP="00E9416A">
      <w:pPr>
        <w:pStyle w:val="Textpoznmkypodiarou"/>
      </w:pPr>
      <w:r w:rsidRPr="00DE66D5">
        <w:rPr>
          <w:rStyle w:val="Odkaznapoznmkupodiarou"/>
        </w:rPr>
        <w:footnoteRef/>
      </w:r>
      <w:r w:rsidRPr="00DE66D5">
        <w:t xml:space="preserve"> </w:t>
      </w:r>
      <w:r w:rsidRPr="00DE66D5">
        <w:tab/>
      </w:r>
      <w:r w:rsidRPr="00DE66D5">
        <w:rPr>
          <w:sz w:val="18"/>
        </w:rPr>
        <w:t>Pozri aj bod 56 usmernení.</w:t>
      </w:r>
    </w:p>
  </w:footnote>
  <w:footnote w:id="12">
    <w:p w:rsidR="00E9416A" w:rsidRPr="00DE66D5" w:rsidRDefault="00E9416A" w:rsidP="00E9416A">
      <w:pPr>
        <w:pStyle w:val="Textpoznmkypodiarou"/>
        <w:rPr>
          <w:sz w:val="18"/>
          <w:szCs w:val="18"/>
        </w:rPr>
      </w:pPr>
      <w:r w:rsidRPr="00DE66D5">
        <w:rPr>
          <w:rStyle w:val="Odkaznapoznmkupodiarou"/>
        </w:rPr>
        <w:footnoteRef/>
      </w:r>
      <w:r w:rsidRPr="00DE66D5">
        <w:t xml:space="preserve"> </w:t>
      </w:r>
      <w:r w:rsidRPr="00DE66D5">
        <w:tab/>
      </w:r>
      <w:r w:rsidRPr="00DE66D5">
        <w:rPr>
          <w:sz w:val="18"/>
        </w:rPr>
        <w:t xml:space="preserve">Pozri aj bod 64 usmernení. </w:t>
      </w:r>
    </w:p>
  </w:footnote>
  <w:footnote w:id="13">
    <w:p w:rsidR="00E9416A" w:rsidRPr="00DE66D5" w:rsidRDefault="00E9416A" w:rsidP="00E9416A">
      <w:pPr>
        <w:pStyle w:val="Textpoznmkypodiarou"/>
        <w:rPr>
          <w:sz w:val="18"/>
          <w:szCs w:val="18"/>
        </w:rPr>
      </w:pPr>
      <w:r w:rsidRPr="00DE66D5">
        <w:rPr>
          <w:rStyle w:val="Odkaznapoznmkupodiarou"/>
        </w:rPr>
        <w:footnoteRef/>
      </w:r>
      <w:r w:rsidRPr="00DE66D5">
        <w:t xml:space="preserve"> </w:t>
      </w:r>
      <w:r w:rsidRPr="00DE66D5">
        <w:tab/>
      </w:r>
      <w:r w:rsidRPr="00DE66D5">
        <w:rPr>
          <w:sz w:val="18"/>
        </w:rPr>
        <w:t xml:space="preserve">Napríklad ak pomoc, ktorá sa má poskytnúť, zlepšuje kapitálovú pozíciu príjemcu, vlastný príspevok by mal podobne zahŕňať opatrenia na zvýšenie kapitálu, napríklad získanie nového vlastného kapitálu od existujúcich akcionárov, odpis existujúceho dlhu a kapitálové zmenky alebo konverziu existujúceho dlhu na kapitál, alebo získanie nového kapitálu z externých zdrojov za trhových podmienok. </w:t>
      </w:r>
    </w:p>
  </w:footnote>
  <w:footnote w:id="14">
    <w:p w:rsidR="00E9416A" w:rsidRPr="00DE66D5" w:rsidRDefault="00E9416A" w:rsidP="00E9416A">
      <w:pPr>
        <w:pStyle w:val="Textpoznmkypodiarou"/>
        <w:rPr>
          <w:sz w:val="18"/>
          <w:szCs w:val="18"/>
        </w:rPr>
      </w:pPr>
      <w:r w:rsidRPr="00DE66D5">
        <w:rPr>
          <w:rStyle w:val="Odkaznapoznmkupodiarou"/>
        </w:rPr>
        <w:footnoteRef/>
      </w:r>
      <w:r w:rsidRPr="00DE66D5">
        <w:t xml:space="preserve"> </w:t>
      </w:r>
      <w:r w:rsidRPr="00DE66D5">
        <w:tab/>
      </w:r>
      <w:r w:rsidRPr="00DE66D5">
        <w:rPr>
          <w:sz w:val="18"/>
        </w:rPr>
        <w:t>Napríklad ak štát poskytne granty, vloží kapitál alebo odpíše dlh.</w:t>
      </w:r>
    </w:p>
  </w:footnote>
  <w:footnote w:id="15">
    <w:p w:rsidR="00E9416A" w:rsidRPr="00DE66D5" w:rsidRDefault="00E9416A" w:rsidP="00E9416A">
      <w:pPr>
        <w:pStyle w:val="Textpoznmkypodiarou"/>
      </w:pPr>
      <w:r w:rsidRPr="00DE66D5">
        <w:rPr>
          <w:rStyle w:val="Odkaznapoznmkupodiarou"/>
        </w:rPr>
        <w:footnoteRef/>
      </w:r>
      <w:r w:rsidRPr="00DE66D5">
        <w:t xml:space="preserve"> </w:t>
      </w:r>
      <w:r w:rsidRPr="00DE66D5">
        <w:tab/>
      </w:r>
      <w:r w:rsidRPr="00DE66D5">
        <w:rPr>
          <w:sz w:val="18"/>
        </w:rPr>
        <w:t>Vrátane každej takejto pomoci udelenej pred tým, ako Komisia začala uplatňovať uvedené usmernenia, t. j. pred 1. augustom 2014.</w:t>
      </w:r>
    </w:p>
  </w:footnote>
  <w:footnote w:id="16">
    <w:p w:rsidR="00E9416A" w:rsidRPr="00FE3D0C" w:rsidRDefault="00E9416A" w:rsidP="00E9416A">
      <w:pPr>
        <w:pStyle w:val="Textpoznmkypodiarou"/>
        <w:rPr>
          <w:sz w:val="18"/>
          <w:szCs w:val="18"/>
        </w:rPr>
      </w:pPr>
      <w:r w:rsidRPr="00DE66D5">
        <w:rPr>
          <w:rStyle w:val="Odkaznapoznmkupodiarou"/>
        </w:rPr>
        <w:footnoteRef/>
      </w:r>
      <w:r w:rsidRPr="00DE66D5">
        <w:t xml:space="preserve"> </w:t>
      </w:r>
      <w:r w:rsidRPr="00DE66D5">
        <w:tab/>
      </w:r>
      <w:r w:rsidRPr="00DE66D5">
        <w:rPr>
          <w:sz w:val="18"/>
        </w:rPr>
        <w:t>Je potrebné upozorniť, že ak od poskytnutia pomoci na záchranu</w:t>
      </w:r>
      <w:r>
        <w:rPr>
          <w:sz w:val="18"/>
        </w:rPr>
        <w:t xml:space="preserve"> alebo dočasnej pomoci na reštrukturalizáciu, prípadne od skončenia obdobia reštrukturalizácie alebo pozastavenia plnenia plánu reštrukturalizácie (podľa toho, čo nastane neskôr) ubehlo menej ako desať rokov, ďalšiu pomoc na záchranu, pomoc na reštrukturalizáciu alebo dočasnú podporu reštrukturalizácie možno poskytnúť len ak: a) dočasná podpora reštrukturalizácie nadväzuje na poskytnutie pomoci na záchranu, a tvorí tak súčasť jedinej reštrukturalizačnej operácie; b) pomoc na reštrukturalizáciu nadväzuje na poskytnutie pomoci na záchranu alebo dočasnú podporu reštrukturalizácie, a tvorí tak súčasť jedinej reštrukturalizačnej operácie; c) bola pomoc na záchranu alebo dočasná podpora  reštrukturalizácie poskytnutá v súlade s týmito usmerneniami, avšak nenasledovala po nej pomoc na  reštrukturalizáciu, ak: i) bolo možné reálne predpokladať, že príjemca bude dlhodobo životaschopný, v prípade, že mu bude poskytnutá pomoc v súlade s týmito usmerneniami, a ii) nová pomoc na záchranu či reštrukturalizáciu, dočasná podpora reštrukturalizácie je po uplynutí aspoň piatich rokov nutná z dôvodu nepredvídateľných okolností, za ktoré príjemca nenesie zodpovednosť; d) za mimoriadnych a nepredvídateľných okolností, za ktoré príjemca nenesie zodpovednosť.</w:t>
      </w:r>
    </w:p>
  </w:footnote>
  <w:footnote w:id="17">
    <w:p w:rsidR="00E9416A" w:rsidRPr="00FE3D0C" w:rsidRDefault="00E9416A" w:rsidP="00E9416A">
      <w:pPr>
        <w:pStyle w:val="Textpoznmkypodiarou"/>
        <w:rPr>
          <w:sz w:val="18"/>
          <w:szCs w:val="18"/>
        </w:rPr>
      </w:pPr>
      <w:r>
        <w:rPr>
          <w:rStyle w:val="Odkaznapoznmkupodiarou"/>
        </w:rPr>
        <w:footnoteRef/>
      </w:r>
      <w:r>
        <w:t xml:space="preserve"> </w:t>
      </w:r>
      <w:r>
        <w:tab/>
      </w:r>
      <w:r>
        <w:rPr>
          <w:sz w:val="18"/>
        </w:rPr>
        <w:t>Odčlenenie aktív s cieľom obmedziť narušenia hospodárskej súťaže by malo prebehnúť bez zbytočného odkladu so zohľadnením druhu odčleňovaných aktív a prípadných prekážok pri pozbavení sa daného aktíva, a v každom prípade po dobu trvania plánu reštrukturalizácie.</w:t>
      </w:r>
    </w:p>
  </w:footnote>
  <w:footnote w:id="18">
    <w:p w:rsidR="00E9416A" w:rsidRPr="00FE3D0C" w:rsidRDefault="00E9416A" w:rsidP="00E9416A">
      <w:pPr>
        <w:pStyle w:val="Textpoznmkypodiarou"/>
        <w:rPr>
          <w:sz w:val="18"/>
          <w:szCs w:val="18"/>
        </w:rPr>
      </w:pPr>
      <w:r>
        <w:rPr>
          <w:rStyle w:val="Odkaznapoznmkupodiarou"/>
        </w:rPr>
        <w:footnoteRef/>
      </w:r>
      <w:r>
        <w:t xml:space="preserve"> </w:t>
      </w:r>
      <w:r>
        <w:tab/>
      </w:r>
      <w:r>
        <w:rPr>
          <w:sz w:val="18"/>
        </w:rPr>
        <w:t>Mohli by zahŕňať najmä opatrenia týkajúce sa otvorenia určitých trhov, ktoré priamo alebo nepriamo súvisia s činnosťami príjemcu pre iné subjekty Únie, v súlade s právnymi predpismi Únie. Takýmito iniciatívami sa môžu nahradiť iné opatrenia na obmedzenie narušení hospodárskej súťaže, ktoré by sa obvykle vyžadovali od príjemcu.</w:t>
      </w:r>
    </w:p>
  </w:footnote>
  <w:footnote w:id="19">
    <w:p w:rsidR="00E9416A" w:rsidRPr="00FE3D0C" w:rsidRDefault="00E9416A" w:rsidP="00E9416A">
      <w:pPr>
        <w:pStyle w:val="Textpoznmkypodiarou"/>
        <w:rPr>
          <w:sz w:val="18"/>
          <w:szCs w:val="18"/>
        </w:rPr>
      </w:pPr>
      <w:r>
        <w:rPr>
          <w:rStyle w:val="Odkaznapoznmkupodiarou"/>
        </w:rPr>
        <w:footnoteRef/>
      </w:r>
      <w:r>
        <w:t xml:space="preserve"> </w:t>
      </w:r>
      <w:r>
        <w:tab/>
      </w:r>
      <w:r>
        <w:rPr>
          <w:sz w:val="18"/>
        </w:rPr>
        <w:t>Typ opatrení, na ktoré sa vzťahuje pojem „pomoc určená na pokrytie sociálnych nákladov na reštrukturalizáciu“, je uvedený v bodoch 32 až 35 usmernení.</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613F"/>
    <w:multiLevelType w:val="multilevel"/>
    <w:tmpl w:val="5C0A6E0A"/>
    <w:lvl w:ilvl="0">
      <w:start w:val="1"/>
      <w:numFmt w:val="decimal"/>
      <w:lvlText w:val="%1."/>
      <w:lvlJc w:val="left"/>
      <w:pPr>
        <w:ind w:left="360" w:hanging="360"/>
      </w:pPr>
      <w:rPr>
        <w:rFonts w:hint="default"/>
      </w:rPr>
    </w:lvl>
    <w:lvl w:ilvl="1">
      <w:start w:val="1"/>
      <w:numFmt w:val="decimal"/>
      <w:lvlText w:val="4.%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6848DB"/>
    <w:multiLevelType w:val="hybridMultilevel"/>
    <w:tmpl w:val="6C22B2DC"/>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7134D"/>
    <w:multiLevelType w:val="multilevel"/>
    <w:tmpl w:val="BBC60A62"/>
    <w:lvl w:ilvl="0">
      <w:start w:val="1"/>
      <w:numFmt w:val="decimal"/>
      <w:lvlText w:val="%1."/>
      <w:lvlJc w:val="left"/>
      <w:pPr>
        <w:ind w:left="360" w:hanging="360"/>
      </w:pPr>
      <w:rPr>
        <w:rFonts w:hint="default"/>
      </w:rPr>
    </w:lvl>
    <w:lvl w:ilvl="1">
      <w:start w:val="1"/>
      <w:numFmt w:val="decimal"/>
      <w:lvlText w:val="6.%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6507AD"/>
    <w:multiLevelType w:val="hybridMultilevel"/>
    <w:tmpl w:val="5AB419B8"/>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271247"/>
    <w:multiLevelType w:val="hybridMultilevel"/>
    <w:tmpl w:val="DA58F178"/>
    <w:lvl w:ilvl="0" w:tplc="00064BD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3F1970"/>
    <w:multiLevelType w:val="hybridMultilevel"/>
    <w:tmpl w:val="6C22B2DC"/>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D04E28"/>
    <w:multiLevelType w:val="hybridMultilevel"/>
    <w:tmpl w:val="21F4F586"/>
    <w:lvl w:ilvl="0" w:tplc="00064BD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DCA6026"/>
    <w:multiLevelType w:val="multilevel"/>
    <w:tmpl w:val="4E822666"/>
    <w:lvl w:ilvl="0">
      <w:start w:val="1"/>
      <w:numFmt w:val="decimal"/>
      <w:lvlText w:val="%1."/>
      <w:lvlJc w:val="left"/>
      <w:pPr>
        <w:ind w:left="360" w:hanging="360"/>
      </w:pPr>
      <w:rPr>
        <w:rFonts w:hint="default"/>
      </w:rPr>
    </w:lvl>
    <w:lvl w:ilvl="1">
      <w:start w:val="1"/>
      <w:numFmt w:val="decimal"/>
      <w:lvlText w:val="3.%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801A0A"/>
    <w:multiLevelType w:val="hybridMultilevel"/>
    <w:tmpl w:val="6C22B2DC"/>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D75B62"/>
    <w:multiLevelType w:val="hybridMultilevel"/>
    <w:tmpl w:val="2878C886"/>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D90738"/>
    <w:multiLevelType w:val="hybridMultilevel"/>
    <w:tmpl w:val="2878C886"/>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46281"/>
    <w:multiLevelType w:val="hybridMultilevel"/>
    <w:tmpl w:val="B776C364"/>
    <w:lvl w:ilvl="0" w:tplc="FDFA2CF6">
      <w:start w:val="1"/>
      <w:numFmt w:val="upperLetter"/>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3A11EF"/>
    <w:multiLevelType w:val="multilevel"/>
    <w:tmpl w:val="439075AC"/>
    <w:lvl w:ilvl="0">
      <w:start w:val="1"/>
      <w:numFmt w:val="decimal"/>
      <w:lvlText w:val="%1."/>
      <w:lvlJc w:val="left"/>
      <w:pPr>
        <w:ind w:left="360" w:hanging="360"/>
      </w:pPr>
      <w:rPr>
        <w:rFonts w:hint="default"/>
      </w:rPr>
    </w:lvl>
    <w:lvl w:ilvl="1">
      <w:start w:val="1"/>
      <w:numFmt w:val="decimal"/>
      <w:lvlText w:val="5.%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49C327B"/>
    <w:multiLevelType w:val="multilevel"/>
    <w:tmpl w:val="52B66650"/>
    <w:lvl w:ilvl="0">
      <w:start w:val="1"/>
      <w:numFmt w:val="decimal"/>
      <w:lvlText w:val="%1."/>
      <w:lvlJc w:val="left"/>
      <w:pPr>
        <w:ind w:left="360" w:hanging="360"/>
      </w:pPr>
      <w:rPr>
        <w:rFonts w:hint="default"/>
      </w:rPr>
    </w:lvl>
    <w:lvl w:ilvl="1">
      <w:start w:val="1"/>
      <w:numFmt w:val="decimal"/>
      <w:lvlText w:val="3.%2."/>
      <w:lvlJc w:val="left"/>
      <w:pPr>
        <w:ind w:left="858" w:hanging="432"/>
      </w:pPr>
      <w:rPr>
        <w:rFonts w:hint="default"/>
        <w:b w:val="0"/>
        <w:color w:val="auto"/>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D42C7A"/>
    <w:multiLevelType w:val="multilevel"/>
    <w:tmpl w:val="145C4A98"/>
    <w:lvl w:ilvl="0">
      <w:start w:val="1"/>
      <w:numFmt w:val="decimal"/>
      <w:lvlText w:val="%1."/>
      <w:lvlJc w:val="left"/>
      <w:pPr>
        <w:ind w:left="360" w:hanging="360"/>
      </w:pPr>
      <w:rPr>
        <w:rFonts w:hint="default"/>
      </w:rPr>
    </w:lvl>
    <w:lvl w:ilvl="1">
      <w:start w:val="1"/>
      <w:numFmt w:val="decimal"/>
      <w:lvlText w:val="7.%2."/>
      <w:lvlJc w:val="left"/>
      <w:pPr>
        <w:ind w:left="858"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C20F4A"/>
    <w:multiLevelType w:val="hybridMultilevel"/>
    <w:tmpl w:val="6C22B2DC"/>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325CD9"/>
    <w:multiLevelType w:val="multilevel"/>
    <w:tmpl w:val="98A8EC7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E8227C7"/>
    <w:multiLevelType w:val="hybridMultilevel"/>
    <w:tmpl w:val="2878C886"/>
    <w:lvl w:ilvl="0" w:tplc="FDFA2CF6">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10"/>
  </w:num>
  <w:num w:numId="4">
    <w:abstractNumId w:val="9"/>
  </w:num>
  <w:num w:numId="5">
    <w:abstractNumId w:val="11"/>
  </w:num>
  <w:num w:numId="6">
    <w:abstractNumId w:val="4"/>
  </w:num>
  <w:num w:numId="7">
    <w:abstractNumId w:val="16"/>
  </w:num>
  <w:num w:numId="8">
    <w:abstractNumId w:val="3"/>
  </w:num>
  <w:num w:numId="9">
    <w:abstractNumId w:val="6"/>
  </w:num>
  <w:num w:numId="10">
    <w:abstractNumId w:val="7"/>
  </w:num>
  <w:num w:numId="11">
    <w:abstractNumId w:val="0"/>
  </w:num>
  <w:num w:numId="12">
    <w:abstractNumId w:val="12"/>
  </w:num>
  <w:num w:numId="13">
    <w:abstractNumId w:val="8"/>
  </w:num>
  <w:num w:numId="14">
    <w:abstractNumId w:val="15"/>
  </w:num>
  <w:num w:numId="15">
    <w:abstractNumId w:val="2"/>
  </w:num>
  <w:num w:numId="16">
    <w:abstractNumId w:val="1"/>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9416A"/>
    <w:rsid w:val="00083EDA"/>
    <w:rsid w:val="000E503C"/>
    <w:rsid w:val="003B0F54"/>
    <w:rsid w:val="004659DC"/>
    <w:rsid w:val="005C4253"/>
    <w:rsid w:val="00695E50"/>
    <w:rsid w:val="00B8712D"/>
    <w:rsid w:val="00DB370D"/>
    <w:rsid w:val="00E9416A"/>
    <w:rsid w:val="00F946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762581-C596-4C93-AF15-5552FE9E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val="en-GB"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4659DC"/>
    <w:pPr>
      <w:spacing w:after="80"/>
    </w:pPr>
    <w:rPr>
      <w:rFonts w:ascii="Times New Roman" w:hAnsi="Times New Roman"/>
    </w:rPr>
  </w:style>
  <w:style w:type="character" w:customStyle="1" w:styleId="TextpoznmkypodiarouChar">
    <w:name w:val="Text poznámky pod čiarou Char"/>
    <w:link w:val="Textpoznmkypodiarou"/>
    <w:uiPriority w:val="99"/>
    <w:rsid w:val="004659DC"/>
    <w:rPr>
      <w:rFonts w:ascii="Times New Roman" w:hAnsi="Times New Roman"/>
    </w:rPr>
  </w:style>
  <w:style w:type="character" w:styleId="Odkaznapoznmkupodiarou">
    <w:name w:val="footnote reference"/>
    <w:aliases w:val="Footnote,Footnote symbol,Nota,Footnote number,de nota al pie,Ref,Char,SUPERS,Voetnootmarkering,Char1,fr,o,(NECG) Footnote Reference,Times 10 Point,Exposant 3 Point,Footnote Reference Number,Footnote reference number,FR, Char"/>
    <w:link w:val="SUPERSChar"/>
    <w:uiPriority w:val="99"/>
    <w:unhideWhenUsed/>
    <w:rsid w:val="00E9416A"/>
    <w:rPr>
      <w:vertAlign w:val="superscript"/>
    </w:rPr>
  </w:style>
  <w:style w:type="paragraph" w:customStyle="1" w:styleId="SUPERSChar">
    <w:name w:val="SUPERS Char"/>
    <w:aliases w:val="EN Footnote Reference Char"/>
    <w:basedOn w:val="Normlny"/>
    <w:link w:val="Odkaznapoznmkupodiarou"/>
    <w:uiPriority w:val="99"/>
    <w:rsid w:val="00E9416A"/>
    <w:pPr>
      <w:spacing w:after="160" w:line="240" w:lineRule="exact"/>
    </w:pPr>
    <w:rPr>
      <w:sz w:val="20"/>
      <w:szCs w:val="20"/>
      <w:vertAlign w:val="superscript"/>
      <w:lang w:eastAsia="en-GB"/>
    </w:rPr>
  </w:style>
  <w:style w:type="paragraph" w:styleId="Hlavika">
    <w:name w:val="header"/>
    <w:basedOn w:val="Normlny"/>
    <w:link w:val="HlavikaChar"/>
    <w:uiPriority w:val="99"/>
    <w:unhideWhenUsed/>
    <w:rsid w:val="00E9416A"/>
    <w:pPr>
      <w:tabs>
        <w:tab w:val="center" w:pos="4536"/>
        <w:tab w:val="right" w:pos="9072"/>
      </w:tabs>
    </w:pPr>
  </w:style>
  <w:style w:type="character" w:customStyle="1" w:styleId="HlavikaChar">
    <w:name w:val="Hlavička Char"/>
    <w:link w:val="Hlavika"/>
    <w:uiPriority w:val="99"/>
    <w:rsid w:val="00E9416A"/>
    <w:rPr>
      <w:sz w:val="22"/>
      <w:szCs w:val="22"/>
      <w:lang w:eastAsia="en-US"/>
    </w:rPr>
  </w:style>
  <w:style w:type="paragraph" w:styleId="Pta">
    <w:name w:val="footer"/>
    <w:basedOn w:val="Normlny"/>
    <w:link w:val="PtaChar"/>
    <w:uiPriority w:val="99"/>
    <w:unhideWhenUsed/>
    <w:rsid w:val="00E9416A"/>
    <w:pPr>
      <w:tabs>
        <w:tab w:val="center" w:pos="4536"/>
        <w:tab w:val="right" w:pos="9072"/>
      </w:tabs>
    </w:pPr>
  </w:style>
  <w:style w:type="character" w:customStyle="1" w:styleId="PtaChar">
    <w:name w:val="Päta Char"/>
    <w:link w:val="Pta"/>
    <w:uiPriority w:val="99"/>
    <w:rsid w:val="00E9416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1845</Words>
  <Characters>10517</Characters>
  <Application>Microsoft Office Word</Application>
  <DocSecurity>4</DocSecurity>
  <Lines>87</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TEZAK Vesna (COMP)</dc:creator>
  <cp:keywords/>
  <cp:lastModifiedBy>Richard Gazda</cp:lastModifiedBy>
  <cp:revision>2</cp:revision>
  <dcterms:created xsi:type="dcterms:W3CDTF">2016-04-12T12:52:00Z</dcterms:created>
  <dcterms:modified xsi:type="dcterms:W3CDTF">2016-04-12T12:52:00Z</dcterms:modified>
</cp:coreProperties>
</file>