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B12C5" w:rsidRPr="003B12C5" w:rsidTr="00475775">
        <w:trPr>
          <w:jc w:val="center"/>
        </w:trPr>
        <w:tc>
          <w:tcPr>
            <w:tcW w:w="9322" w:type="dxa"/>
            <w:tcBorders>
              <w:top w:val="single" w:sz="4" w:space="0" w:color="auto"/>
              <w:bottom w:val="single" w:sz="4" w:space="0" w:color="auto"/>
            </w:tcBorders>
            <w:shd w:val="pct15" w:color="auto" w:fill="FFFFFF"/>
          </w:tcPr>
          <w:p w:rsidR="003B12C5" w:rsidRPr="003B12C5" w:rsidRDefault="003B12C5" w:rsidP="003B12C5">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56"/>
            <w:bookmarkStart w:id="1" w:name="_Toc416949008"/>
            <w:bookmarkStart w:id="2" w:name="_GoBack"/>
            <w:bookmarkEnd w:id="2"/>
            <w:r w:rsidRPr="003B12C5">
              <w:rPr>
                <w:rFonts w:ascii="Times New Roman" w:eastAsia="Times New Roman" w:hAnsi="Times New Roman"/>
                <w:b/>
                <w:bCs/>
                <w:sz w:val="24"/>
                <w:szCs w:val="26"/>
                <w:lang w:val="sk-SK"/>
              </w:rPr>
              <w:t>Časť III.1.B – Formulár doplňujúcich informácií o schémach regionálnej investičnej pomoci</w:t>
            </w:r>
            <w:bookmarkEnd w:id="0"/>
            <w:bookmarkEnd w:id="1"/>
          </w:p>
        </w:tc>
      </w:tr>
    </w:tbl>
    <w:p w:rsidR="003B12C5" w:rsidRPr="003B12C5" w:rsidRDefault="003B12C5" w:rsidP="003B12C5">
      <w:pPr>
        <w:spacing w:before="120" w:after="120" w:line="240" w:lineRule="auto"/>
        <w:jc w:val="both"/>
        <w:rPr>
          <w:rFonts w:ascii="Times New Roman" w:hAnsi="Times New Roman"/>
          <w:sz w:val="24"/>
          <w:lang w:val="sk-SK"/>
        </w:rPr>
      </w:pPr>
    </w:p>
    <w:p w:rsidR="003B12C5" w:rsidRPr="003B12C5" w:rsidRDefault="003B12C5" w:rsidP="003B12C5">
      <w:pPr>
        <w:spacing w:before="120" w:after="120" w:line="240" w:lineRule="auto"/>
        <w:jc w:val="both"/>
        <w:rPr>
          <w:rFonts w:ascii="Times New Roman" w:hAnsi="Times New Roman"/>
          <w:i/>
          <w:sz w:val="24"/>
          <w:lang w:val="sk-SK"/>
        </w:rPr>
      </w:pPr>
      <w:r w:rsidRPr="003B12C5">
        <w:rPr>
          <w:rFonts w:ascii="Times New Roman" w:hAnsi="Times New Roman"/>
          <w:i/>
          <w:sz w:val="24"/>
          <w:lang w:val="sk-SK"/>
        </w:rPr>
        <w:t>Tento formulár doplňujúcich informácií musí byť použitý na oznámenie akýchkoľvek schém prevádzkovej pomoci, na ktoré sa vzťahujú Usmernenia o regionálnej štátnej pomoci na roky 2014 –2020</w:t>
      </w:r>
      <w:r w:rsidRPr="003B12C5">
        <w:rPr>
          <w:rFonts w:ascii="Times New Roman" w:hAnsi="Times New Roman"/>
          <w:i/>
          <w:sz w:val="24"/>
          <w:vertAlign w:val="superscript"/>
          <w:lang w:val="sk-SK"/>
        </w:rPr>
        <w:footnoteReference w:id="1"/>
      </w:r>
      <w:r w:rsidRPr="003B12C5">
        <w:rPr>
          <w:rFonts w:ascii="Times New Roman" w:hAnsi="Times New Roman"/>
          <w:i/>
          <w:sz w:val="24"/>
          <w:lang w:val="sk-SK"/>
        </w:rPr>
        <w:t xml:space="preserve"> (ďalej len „usmernenia o regionálnej štátnej pomoci“).</w:t>
      </w:r>
    </w:p>
    <w:p w:rsidR="003B12C5" w:rsidRPr="003B12C5" w:rsidRDefault="003B12C5" w:rsidP="003B12C5">
      <w:pPr>
        <w:spacing w:before="120" w:after="120" w:line="240" w:lineRule="auto"/>
        <w:jc w:val="both"/>
        <w:rPr>
          <w:rFonts w:ascii="Times New Roman" w:hAnsi="Times New Roman"/>
          <w:sz w:val="24"/>
          <w:lang w:val="sk-SK"/>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B12C5" w:rsidRPr="003B12C5" w:rsidTr="00475775">
        <w:tc>
          <w:tcPr>
            <w:tcW w:w="9322" w:type="dxa"/>
            <w:tcBorders>
              <w:top w:val="single" w:sz="4" w:space="0" w:color="auto"/>
              <w:bottom w:val="single" w:sz="4" w:space="0" w:color="auto"/>
            </w:tcBorders>
            <w:shd w:val="pct15" w:color="auto" w:fill="FFFFFF"/>
          </w:tcPr>
          <w:p w:rsidR="003B12C5" w:rsidRPr="003B12C5" w:rsidRDefault="003B12C5" w:rsidP="003B12C5">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3B12C5">
              <w:rPr>
                <w:rFonts w:ascii="Times New Roman" w:eastAsia="Times New Roman" w:hAnsi="Times New Roman"/>
                <w:bCs/>
                <w:iCs/>
                <w:sz w:val="24"/>
                <w:lang w:val="sk-SK"/>
              </w:rPr>
              <w:t>Rozsah pôsobnosti</w:t>
            </w:r>
          </w:p>
        </w:tc>
      </w:tr>
    </w:tbl>
    <w:p w:rsidR="003B12C5" w:rsidRPr="003B12C5" w:rsidRDefault="003B12C5" w:rsidP="00333E65">
      <w:pPr>
        <w:numPr>
          <w:ilvl w:val="1"/>
          <w:numId w:val="2"/>
        </w:numPr>
        <w:tabs>
          <w:tab w:val="left" w:pos="720"/>
          <w:tab w:val="left" w:pos="1440"/>
          <w:tab w:val="left" w:pos="1797"/>
        </w:tabs>
        <w:spacing w:before="360" w:after="240" w:line="240" w:lineRule="auto"/>
        <w:ind w:left="709" w:hanging="709"/>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Dôvody na oznámenie schémy namiesto toho, aby sa zaviedla podľa všeobecného nariadenia o skupinových výnimkách (ďalej len „nariadenie GBER“)</w:t>
      </w:r>
      <w:r w:rsidRPr="003B12C5">
        <w:rPr>
          <w:rFonts w:ascii="Times New Roman" w:eastAsia="Times New Roman" w:hAnsi="Times New Roman" w:cs="Arial Unicode MS"/>
          <w:color w:val="000000"/>
          <w:sz w:val="24"/>
          <w:szCs w:val="24"/>
          <w:vertAlign w:val="superscript"/>
          <w:lang w:val="sk-SK" w:eastAsia="sk-SK" w:bidi="sk-SK"/>
        </w:rPr>
        <w:footnoteReference w:id="2"/>
      </w:r>
      <w:r w:rsidRPr="003B12C5">
        <w:rPr>
          <w:rFonts w:ascii="Times New Roman" w:eastAsia="Times New Roman" w:hAnsi="Times New Roman" w:cs="Arial Unicode MS"/>
          <w:sz w:val="24"/>
          <w:szCs w:val="24"/>
          <w:lang w:val="sk-SK" w:eastAsia="sk-SK" w:bidi="sk-SK"/>
        </w:rPr>
        <w:t xml:space="preserve"> alebo nariadenia </w:t>
      </w:r>
      <w:r w:rsidRPr="003B12C5">
        <w:rPr>
          <w:rFonts w:ascii="Times New Roman" w:eastAsia="Times New Roman" w:hAnsi="Times New Roman" w:cs="Arial Unicode MS"/>
          <w:i/>
          <w:sz w:val="24"/>
          <w:szCs w:val="24"/>
          <w:lang w:val="sk-SK" w:eastAsia="sk-SK" w:bidi="sk-SK"/>
        </w:rPr>
        <w:t>de minimis</w:t>
      </w:r>
      <w:r w:rsidRPr="003B12C5">
        <w:rPr>
          <w:rFonts w:ascii="Times New Roman" w:eastAsia="Times New Roman" w:hAnsi="Times New Roman" w:cs="Arial Unicode MS"/>
          <w:sz w:val="24"/>
          <w:szCs w:val="24"/>
          <w:vertAlign w:val="superscript"/>
          <w:lang w:val="sk-SK" w:eastAsia="sk-SK" w:bidi="sk-SK"/>
        </w:rPr>
        <w:footnoteReference w:id="3"/>
      </w: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Týka sa notifikácia schémy určitého odvetvia. V tom prípade uveďte odvetvie, na ktoré sa schéma vzťahuje (kód NACE):</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t xml:space="preserve"> </w:t>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Notifikácia sa týka všeobecnej schémy, ktorá sa vzťahuje aj na odvetvie lodného staviteľstva.</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Iné. Spresnite:</w:t>
      </w:r>
    </w:p>
    <w:p w:rsidR="003B12C5" w:rsidRPr="003B12C5" w:rsidRDefault="003B12C5" w:rsidP="003B12C5">
      <w:pPr>
        <w:tabs>
          <w:tab w:val="left" w:leader="dot" w:pos="9072"/>
        </w:tabs>
        <w:spacing w:before="120" w:after="120" w:line="240" w:lineRule="auto"/>
        <w:ind w:left="1418"/>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1"/>
          <w:numId w:val="2"/>
        </w:numPr>
        <w:tabs>
          <w:tab w:val="left" w:pos="720"/>
          <w:tab w:val="left" w:pos="1077"/>
          <w:tab w:val="left" w:pos="1440"/>
          <w:tab w:val="left" w:pos="1797"/>
        </w:tabs>
        <w:spacing w:before="360" w:after="240" w:line="240" w:lineRule="auto"/>
        <w:ind w:hanging="792"/>
        <w:jc w:val="both"/>
        <w:rPr>
          <w:rFonts w:ascii="Times New Roman" w:eastAsia="Times New Roman" w:hAnsi="Times New Roman" w:cs="Arial Unicode MS"/>
          <w:b/>
          <w:sz w:val="24"/>
          <w:szCs w:val="24"/>
          <w:lang w:val="sk-SK" w:eastAsia="sk-SK" w:bidi="sk-SK"/>
        </w:rPr>
      </w:pPr>
      <w:r w:rsidRPr="003B12C5">
        <w:rPr>
          <w:rFonts w:ascii="Times New Roman" w:eastAsia="Times New Roman" w:hAnsi="Times New Roman" w:cs="Arial Unicode MS"/>
          <w:b/>
          <w:sz w:val="24"/>
          <w:szCs w:val="24"/>
          <w:lang w:val="sk-SK" w:eastAsia="sk-SK" w:bidi="sk-SK"/>
        </w:rPr>
        <w:t>Rozsah pôsobnosti notifikovanej schémy</w:t>
      </w:r>
    </w:p>
    <w:p w:rsidR="003B12C5" w:rsidRPr="003B12C5" w:rsidRDefault="003B12C5" w:rsidP="003B12C5">
      <w:pPr>
        <w:numPr>
          <w:ilvl w:val="2"/>
          <w:numId w:val="2"/>
        </w:numPr>
        <w:spacing w:before="120" w:after="0" w:line="240" w:lineRule="auto"/>
        <w:jc w:val="both"/>
        <w:rPr>
          <w:rFonts w:ascii="Times New Roman" w:hAnsi="Times New Roman"/>
          <w:sz w:val="24"/>
          <w:szCs w:val="24"/>
          <w:lang w:val="sk-SK"/>
        </w:rPr>
      </w:pPr>
      <w:r w:rsidRPr="003B12C5">
        <w:rPr>
          <w:rFonts w:ascii="Times New Roman" w:hAnsi="Times New Roman"/>
          <w:sz w:val="24"/>
          <w:lang w:val="sk-SK"/>
        </w:rPr>
        <w:t>Potvrďte, že v právnom základe pre notifikovanú schému sa stanovuje povinnosť oznámiť Komisii individuálnu pomoc poskytovanú príjemcom, ktorí ukončili rovnakú alebo podobnú činnosť</w:t>
      </w:r>
      <w:r w:rsidRPr="003B12C5">
        <w:rPr>
          <w:rFonts w:ascii="Times New Roman" w:hAnsi="Times New Roman"/>
          <w:sz w:val="24"/>
          <w:vertAlign w:val="superscript"/>
          <w:lang w:val="sk-SK"/>
        </w:rPr>
        <w:footnoteReference w:id="4"/>
      </w:r>
      <w:r w:rsidRPr="003B12C5">
        <w:rPr>
          <w:rFonts w:ascii="Times New Roman" w:hAnsi="Times New Roman"/>
          <w:sz w:val="24"/>
          <w:lang w:val="sk-SK"/>
        </w:rPr>
        <w:t xml:space="preserve"> v EHP dva roky pred dátumom predloženia žiadosti o pomoc alebo ktorí v okamihu predloženia žiadosti o pomoc plánujú ukončiť takúto činnosť v priebehu dvoch rokov od ukončenia investície, ktorá sa má financovať (bod 23 usmernenia o regionálnej štátnej pomoci).</w:t>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lang w:val="sk-SK"/>
        </w:rPr>
      </w:pPr>
      <w:r w:rsidRPr="003B12C5">
        <w:rPr>
          <w:rFonts w:ascii="Times New Roman" w:hAnsi="Times New Roman"/>
          <w:sz w:val="24"/>
          <w:lang w:val="sk-SK"/>
        </w:rPr>
        <w:t>Uveďte odkaz na príslušné ustanovenie právneho základu:</w:t>
      </w:r>
    </w:p>
    <w:p w:rsidR="003B12C5" w:rsidRPr="003B12C5" w:rsidRDefault="003B12C5" w:rsidP="003B12C5">
      <w:pPr>
        <w:tabs>
          <w:tab w:val="left" w:leader="do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2"/>
        </w:numPr>
        <w:spacing w:before="120" w:after="0" w:line="240" w:lineRule="auto"/>
        <w:ind w:left="1276"/>
        <w:jc w:val="both"/>
        <w:rPr>
          <w:rFonts w:ascii="Times New Roman" w:hAnsi="Times New Roman"/>
          <w:sz w:val="24"/>
          <w:szCs w:val="24"/>
          <w:lang w:val="sk-SK"/>
        </w:rPr>
      </w:pPr>
      <w:r w:rsidRPr="003B12C5">
        <w:rPr>
          <w:rFonts w:ascii="Times New Roman" w:hAnsi="Times New Roman"/>
          <w:sz w:val="24"/>
          <w:lang w:val="sk-SK"/>
        </w:rPr>
        <w:lastRenderedPageBreak/>
        <w:t>Potvrdzujem, že v notifikovanej schéme pomoci sa stanovuje, že regionálna investičná pomoc sa neposkytne ďalej uvedeným kategóriám podnikov a odvetví. V každom prípade uveďte príslušné ustanovenie právneho základu schémy.</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840"/>
      </w:tblGrid>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Vylúčené kategórie podnikov a odvetví</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283"/>
              <w:rPr>
                <w:rFonts w:ascii="Times New Roman" w:hAnsi="Times New Roman"/>
                <w:sz w:val="24"/>
                <w:szCs w:val="24"/>
                <w:lang w:val="sk-SK"/>
              </w:rPr>
            </w:pPr>
            <w:r w:rsidRPr="003B12C5">
              <w:rPr>
                <w:rFonts w:ascii="Times New Roman" w:hAnsi="Times New Roman"/>
                <w:sz w:val="24"/>
                <w:lang w:val="sk-SK"/>
              </w:rPr>
              <w:t>Príslušné ustanovenie právneho základu schémy</w:t>
            </w: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Podniky v ťažkostiach</w:t>
            </w:r>
            <w:r w:rsidRPr="003B12C5">
              <w:rPr>
                <w:rFonts w:ascii="Times New Roman" w:hAnsi="Times New Roman"/>
                <w:sz w:val="24"/>
                <w:vertAlign w:val="superscript"/>
                <w:lang w:val="sk-SK"/>
              </w:rPr>
              <w:footnoteReference w:id="5"/>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Oceliarske odvetvie</w:t>
            </w:r>
            <w:r w:rsidRPr="003B12C5">
              <w:rPr>
                <w:rFonts w:ascii="Times New Roman" w:hAnsi="Times New Roman"/>
                <w:sz w:val="24"/>
                <w:vertAlign w:val="superscript"/>
                <w:lang w:val="sk-SK"/>
              </w:rPr>
              <w:footnoteReference w:id="6"/>
            </w:r>
            <w:r w:rsidRPr="003B12C5">
              <w:rPr>
                <w:rFonts w:ascii="Times New Roman" w:hAnsi="Times New Roman"/>
                <w:sz w:val="24"/>
                <w:lang w:val="sk-SK"/>
              </w:rPr>
              <w:t xml:space="preserve"> </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Odvetvie syntetických vlákien</w:t>
            </w:r>
            <w:r w:rsidRPr="003B12C5">
              <w:rPr>
                <w:rFonts w:ascii="Times New Roman" w:hAnsi="Times New Roman"/>
                <w:sz w:val="24"/>
                <w:vertAlign w:val="superscript"/>
                <w:lang w:val="sk-SK"/>
              </w:rPr>
              <w:footnoteReference w:id="7"/>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Výroba poľnohospodárskych výrobkov uvedených v prílohe I k ZFEÚ</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Spracovanie a/alebo uvádzanie na trh poľnohospodárskych výrobkov uvedených v prílohe I k ZFEÚ</w:t>
            </w:r>
            <w:r w:rsidRPr="003B12C5">
              <w:rPr>
                <w:rFonts w:ascii="Times New Roman" w:hAnsi="Times New Roman"/>
                <w:sz w:val="24"/>
                <w:vertAlign w:val="superscript"/>
                <w:lang w:val="sk-SK"/>
              </w:rPr>
              <w:footnoteReference w:id="8"/>
            </w:r>
            <w:r w:rsidRPr="003B12C5">
              <w:rPr>
                <w:rFonts w:ascii="Times New Roman" w:hAnsi="Times New Roman"/>
                <w:sz w:val="24"/>
                <w:lang w:val="sk-SK"/>
              </w:rPr>
              <w:t xml:space="preserve"> na výrobky uvedené v tej prílohe I</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Výroba, spracovanie a/alebo uvádzanie na trh výrobkov rybolovu a akvakultúry uvedených v prílohe I k ZFEÚ</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Odvetvie dopravy</w:t>
            </w:r>
            <w:r w:rsidRPr="003B12C5">
              <w:rPr>
                <w:rFonts w:ascii="Times New Roman" w:hAnsi="Times New Roman"/>
                <w:sz w:val="24"/>
                <w:vertAlign w:val="superscript"/>
                <w:lang w:val="sk-SK"/>
              </w:rPr>
              <w:footnoteReference w:id="9"/>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3B12C5" w:rsidRPr="003B12C5" w:rsidTr="00475775">
        <w:tc>
          <w:tcPr>
            <w:tcW w:w="4678" w:type="dxa"/>
            <w:shd w:val="clear" w:color="auto" w:fill="auto"/>
          </w:tcPr>
          <w:p w:rsidR="003B12C5" w:rsidRPr="003B12C5" w:rsidRDefault="003B12C5" w:rsidP="003B12C5">
            <w:pPr>
              <w:numPr>
                <w:ilvl w:val="2"/>
                <w:numId w:val="0"/>
              </w:numPr>
              <w:tabs>
                <w:tab w:val="num" w:pos="850"/>
              </w:tabs>
              <w:spacing w:before="120" w:after="120" w:line="240" w:lineRule="auto"/>
              <w:ind w:left="850" w:hanging="1636"/>
              <w:rPr>
                <w:rFonts w:ascii="Times New Roman" w:hAnsi="Times New Roman"/>
                <w:sz w:val="24"/>
                <w:szCs w:val="24"/>
                <w:lang w:val="sk-SK"/>
              </w:rPr>
            </w:pPr>
            <w:r w:rsidRPr="003B12C5">
              <w:rPr>
                <w:rFonts w:ascii="Times New Roman" w:hAnsi="Times New Roman"/>
                <w:sz w:val="24"/>
                <w:lang w:val="sk-SK"/>
              </w:rPr>
              <w:t>Odvetvie energetiky</w:t>
            </w:r>
          </w:p>
        </w:tc>
        <w:tc>
          <w:tcPr>
            <w:tcW w:w="2840" w:type="dxa"/>
            <w:shd w:val="clear" w:color="auto" w:fill="auto"/>
          </w:tcPr>
          <w:p w:rsidR="003B12C5" w:rsidRPr="003B12C5" w:rsidRDefault="003B12C5" w:rsidP="003B12C5">
            <w:pPr>
              <w:numPr>
                <w:ilvl w:val="2"/>
                <w:numId w:val="0"/>
              </w:numPr>
              <w:tabs>
                <w:tab w:val="num" w:pos="850"/>
              </w:tabs>
              <w:spacing w:before="120" w:after="120" w:line="240" w:lineRule="auto"/>
              <w:ind w:left="850" w:hanging="850"/>
              <w:rPr>
                <w:rFonts w:ascii="Times New Roman" w:hAnsi="Times New Roman"/>
                <w:sz w:val="24"/>
                <w:szCs w:val="24"/>
                <w:lang w:val="sk-SK"/>
              </w:rPr>
            </w:pPr>
          </w:p>
        </w:tc>
      </w:tr>
    </w:tbl>
    <w:p w:rsidR="003B12C5" w:rsidRPr="003B12C5" w:rsidRDefault="003B12C5" w:rsidP="003B12C5">
      <w:pPr>
        <w:spacing w:before="120" w:after="120" w:line="240" w:lineRule="auto"/>
        <w:jc w:val="both"/>
        <w:rPr>
          <w:rFonts w:ascii="Times New Roman" w:hAnsi="Times New Roman"/>
          <w:sz w:val="24"/>
          <w:lang w:val="sk-SK"/>
        </w:rPr>
      </w:pPr>
    </w:p>
    <w:p w:rsidR="003B12C5" w:rsidRPr="003B12C5" w:rsidRDefault="003B12C5" w:rsidP="003B12C5">
      <w:pPr>
        <w:numPr>
          <w:ilvl w:val="2"/>
          <w:numId w:val="2"/>
        </w:numPr>
        <w:spacing w:before="120" w:after="0" w:line="240" w:lineRule="auto"/>
        <w:ind w:left="1134" w:hanging="425"/>
        <w:jc w:val="both"/>
        <w:rPr>
          <w:rFonts w:ascii="Times New Roman" w:hAnsi="Times New Roman"/>
          <w:sz w:val="24"/>
          <w:lang w:val="sk-SK"/>
        </w:rPr>
      </w:pPr>
      <w:r w:rsidRPr="003B12C5">
        <w:rPr>
          <w:rFonts w:ascii="Times New Roman" w:hAnsi="Times New Roman"/>
          <w:sz w:val="24"/>
          <w:lang w:val="sk-SK"/>
        </w:rPr>
        <w:t>Ak sa schéma vzťahuje na investičnú pomoc na širokopásmové siete, spresnite, či je splnená každá z týchto podmienok:</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pomoc sa poskytuje iba oblastiam, v ktorých neexistuje žiadna sieť rovnakej kategórie (či už základná širokopásmová sieť alebo prístupová sieť novej generácie ) a v ktorých sa pravdepodobne v blízkej budúcnosti žiadna sieť nevybuduje;</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lastRenderedPageBreak/>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dotovaný prevádzkovateľ sietí ponúka aktívny a pasívny veľkoobchodný prístup za spravodlivých a nediskriminačných podmienok s možnosťou efektívneho a neviazaného sprístupnenia;</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pomoc by sa mala prideliť na základe súťažného výberového konania v súlade s bodom 78 písm. c) a d) usmernení o širokopásmových sieťach</w:t>
      </w:r>
      <w:r w:rsidRPr="003B12C5">
        <w:rPr>
          <w:rFonts w:ascii="Times New Roman" w:eastAsia="Times New Roman" w:hAnsi="Times New Roman" w:cs="Arial Unicode MS"/>
          <w:sz w:val="24"/>
          <w:szCs w:val="24"/>
          <w:vertAlign w:val="superscript"/>
          <w:lang w:val="sk-SK" w:eastAsia="sk-SK" w:bidi="sk-SK"/>
        </w:rPr>
        <w:footnoteReference w:id="10"/>
      </w: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lang w:val="sk-SK"/>
        </w:rPr>
      </w:pPr>
      <w:r w:rsidRPr="003B12C5">
        <w:rPr>
          <w:rFonts w:ascii="Times New Roman" w:hAnsi="Times New Roman"/>
          <w:sz w:val="24"/>
          <w:lang w:val="sk-SK"/>
        </w:rPr>
        <w:t>Uveďte odkaz na príslušné ustanovenie právneho základu:</w:t>
      </w:r>
    </w:p>
    <w:p w:rsidR="003B12C5" w:rsidRPr="003B12C5" w:rsidRDefault="003B12C5" w:rsidP="003B12C5">
      <w:pPr>
        <w:tabs>
          <w:tab w:val="left" w:pos="720"/>
          <w:tab w:val="left" w:pos="1077"/>
          <w:tab w:val="left" w:leader="dot" w:pos="9072"/>
        </w:tabs>
        <w:spacing w:after="0" w:line="240" w:lineRule="auto"/>
        <w:ind w:left="1134"/>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spacing w:before="120" w:after="120" w:line="240" w:lineRule="auto"/>
        <w:jc w:val="both"/>
        <w:rPr>
          <w:rFonts w:ascii="Times New Roman" w:hAnsi="Times New Roman"/>
          <w:sz w:val="24"/>
          <w:lang w:val="sk-SK"/>
        </w:rPr>
      </w:pPr>
    </w:p>
    <w:p w:rsidR="003B12C5" w:rsidRPr="003B12C5" w:rsidRDefault="003B12C5" w:rsidP="003B12C5">
      <w:pPr>
        <w:numPr>
          <w:ilvl w:val="2"/>
          <w:numId w:val="2"/>
        </w:numPr>
        <w:spacing w:before="120" w:after="0" w:line="240" w:lineRule="auto"/>
        <w:ind w:left="1276"/>
        <w:jc w:val="both"/>
        <w:rPr>
          <w:rFonts w:ascii="Times New Roman" w:hAnsi="Times New Roman"/>
          <w:sz w:val="24"/>
          <w:szCs w:val="24"/>
          <w:lang w:val="sk-SK"/>
        </w:rPr>
      </w:pPr>
      <w:r w:rsidRPr="003B12C5">
        <w:rPr>
          <w:rFonts w:ascii="Times New Roman" w:hAnsi="Times New Roman"/>
          <w:sz w:val="24"/>
          <w:lang w:val="sk-SK"/>
        </w:rPr>
        <w:t>Ak sa schéma vzťahuje na pomoc na výskumné infraštruktúry, je táto pomoc podmienená poskytnutím transparentného a nediskriminačného prístupu k tejto infraštruktúre?</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nie</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áno. Uveďte odkaz na príslušné ustanovenie právneho základu: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3B12C5" w:rsidRPr="003B12C5" w:rsidTr="00475775">
        <w:trPr>
          <w:trHeight w:val="737"/>
        </w:trPr>
        <w:tc>
          <w:tcPr>
            <w:tcW w:w="9039" w:type="dxa"/>
            <w:tcBorders>
              <w:top w:val="single" w:sz="4" w:space="0" w:color="auto"/>
              <w:bottom w:val="single" w:sz="4" w:space="0" w:color="auto"/>
            </w:tcBorders>
            <w:shd w:val="pct15" w:color="auto" w:fill="FFFFFF"/>
          </w:tcPr>
          <w:p w:rsidR="003B12C5" w:rsidRPr="003B12C5" w:rsidRDefault="003B12C5" w:rsidP="003B12C5">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3B12C5">
              <w:rPr>
                <w:rFonts w:ascii="Times New Roman" w:eastAsia="Times New Roman" w:hAnsi="Times New Roman"/>
                <w:bCs/>
                <w:iCs/>
                <w:sz w:val="24"/>
                <w:lang w:val="sk-SK"/>
              </w:rPr>
              <w:t>Počiatočné investície, oprávnené náklady a pomoc</w:t>
            </w:r>
          </w:p>
        </w:tc>
      </w:tr>
    </w:tbl>
    <w:p w:rsidR="00333E65" w:rsidRDefault="00333E65" w:rsidP="00333E65">
      <w:pPr>
        <w:spacing w:before="120" w:after="120" w:line="240" w:lineRule="auto"/>
        <w:ind w:left="792"/>
        <w:contextualSpacing/>
        <w:jc w:val="both"/>
        <w:rPr>
          <w:rFonts w:ascii="Times New Roman" w:hAnsi="Times New Roman"/>
          <w:b/>
          <w:sz w:val="24"/>
          <w:szCs w:val="20"/>
          <w:lang w:val="sk-SK" w:eastAsia="sk-SK" w:bidi="sk-SK"/>
        </w:rPr>
      </w:pPr>
    </w:p>
    <w:p w:rsidR="003B12C5" w:rsidRPr="003B12C5" w:rsidRDefault="003B12C5" w:rsidP="00333E65">
      <w:pPr>
        <w:numPr>
          <w:ilvl w:val="1"/>
          <w:numId w:val="4"/>
        </w:numPr>
        <w:spacing w:before="120" w:after="0" w:line="240" w:lineRule="auto"/>
        <w:ind w:hanging="792"/>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Druhy počiatočných investícií, na ktoré sa daná schéma vzťahuje</w:t>
      </w:r>
    </w:p>
    <w:p w:rsidR="003B12C5" w:rsidRPr="003B12C5" w:rsidRDefault="003B12C5" w:rsidP="003B12C5">
      <w:pPr>
        <w:numPr>
          <w:ilvl w:val="2"/>
          <w:numId w:val="4"/>
        </w:numPr>
        <w:spacing w:before="120" w:after="0" w:line="240" w:lineRule="auto"/>
        <w:jc w:val="both"/>
        <w:rPr>
          <w:rFonts w:ascii="Times New Roman" w:hAnsi="Times New Roman"/>
          <w:sz w:val="24"/>
          <w:lang w:val="sk-SK"/>
        </w:rPr>
      </w:pPr>
      <w:r w:rsidRPr="003B12C5">
        <w:rPr>
          <w:rFonts w:ascii="Times New Roman" w:hAnsi="Times New Roman"/>
          <w:sz w:val="24"/>
          <w:lang w:val="sk-SK"/>
        </w:rPr>
        <w:t>Ak sa schéma vzťahuje na investície MSP alebo veľkých podnikov</w:t>
      </w:r>
      <w:r w:rsidRPr="003B12C5">
        <w:rPr>
          <w:rFonts w:ascii="Times New Roman" w:hAnsi="Times New Roman"/>
          <w:sz w:val="24"/>
          <w:vertAlign w:val="superscript"/>
          <w:lang w:val="sk-SK"/>
        </w:rPr>
        <w:footnoteReference w:id="11"/>
      </w:r>
      <w:r w:rsidRPr="003B12C5">
        <w:rPr>
          <w:rFonts w:ascii="Times New Roman" w:hAnsi="Times New Roman"/>
          <w:sz w:val="24"/>
          <w:lang w:val="sk-SK"/>
        </w:rPr>
        <w:t xml:space="preserve"> v oblastiach „a“ alebo na investície MSP v oblastiach „c“ (bod 34 usmernení o regionálnej štátnej pomoci), uveďte kategóriu/kategórie počiatočnej investície, ktorej sa notifikácia týka [bod 20 písm. h) usmernení o regionálnej štátnej pomoci]:</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založenie nového podniku</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rozšírenie kapacity existujúceho podniku</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diverzifikácia výroby podniku na výrobky, ktoré sa predtým v podniku nevyrábali</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d)</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zásadná zmena celkového výrobného procesu existujúceho podniku</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lastRenderedPageBreak/>
        <w:t>e)</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nadobudnutie aktív priamo súvisiacich s podnikom za predpokladu, že podnik buď ukončil činnosť alebo by ju bol ukončil, ak by nebol kúpený, pričom tento podnik kúpil investor bez väzieb na predávajúceho</w:t>
      </w:r>
      <w:r w:rsidRPr="003B12C5">
        <w:rPr>
          <w:rFonts w:ascii="Times New Roman" w:eastAsia="Times New Roman" w:hAnsi="Times New Roman" w:cs="Arial Unicode MS"/>
          <w:sz w:val="24"/>
          <w:szCs w:val="24"/>
          <w:vertAlign w:val="superscript"/>
          <w:lang w:val="sk-SK" w:eastAsia="sk-SK" w:bidi="sk-SK"/>
        </w:rPr>
        <w:footnoteReference w:id="12"/>
      </w:r>
    </w:p>
    <w:p w:rsidR="003B12C5" w:rsidRPr="003B12C5" w:rsidRDefault="003B12C5" w:rsidP="003B12C5">
      <w:pPr>
        <w:numPr>
          <w:ilvl w:val="2"/>
          <w:numId w:val="4"/>
        </w:numPr>
        <w:spacing w:before="120" w:after="0" w:line="240" w:lineRule="auto"/>
        <w:ind w:left="1276"/>
        <w:jc w:val="both"/>
        <w:rPr>
          <w:rFonts w:ascii="Times New Roman" w:hAnsi="Times New Roman"/>
          <w:sz w:val="24"/>
          <w:szCs w:val="24"/>
          <w:lang w:val="sk-SK"/>
        </w:rPr>
      </w:pPr>
      <w:r w:rsidRPr="003B12C5">
        <w:rPr>
          <w:rFonts w:ascii="Times New Roman" w:hAnsi="Times New Roman"/>
          <w:sz w:val="24"/>
          <w:lang w:val="sk-SK"/>
        </w:rPr>
        <w:t>Ak sa schéma vzťahuje na investície veľkých podnikov v oblastiach „c“, uveďte kategóriu alebo kategórie počiatočnej investície, ktorej sa notifikácia týka [bod 15 a bod 20 písm. i) usmernení o regionálnej štátnej pomoci]:</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založenie nového podniku</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diverzifikácia činnosti podniku pod podmienkou, že nová činnosť nie je rovnaká ako činnosť ani podobná činnosti</w:t>
      </w:r>
      <w:r w:rsidRPr="003B12C5">
        <w:rPr>
          <w:rFonts w:ascii="Times New Roman" w:eastAsia="Times New Roman" w:hAnsi="Times New Roman" w:cs="Arial Unicode MS"/>
          <w:sz w:val="24"/>
          <w:szCs w:val="24"/>
          <w:vertAlign w:val="superscript"/>
          <w:lang w:val="sk-SK" w:eastAsia="sk-SK" w:bidi="sk-SK"/>
        </w:rPr>
        <w:footnoteReference w:id="13"/>
      </w:r>
      <w:r w:rsidRPr="003B12C5">
        <w:rPr>
          <w:rFonts w:ascii="Times New Roman" w:eastAsia="Times New Roman" w:hAnsi="Times New Roman" w:cs="Arial Unicode MS"/>
          <w:sz w:val="24"/>
          <w:szCs w:val="24"/>
          <w:lang w:val="sk-SK" w:eastAsia="sk-SK" w:bidi="sk-SK"/>
        </w:rPr>
        <w:t>, ktorá sa predtým v podniku vykonávala</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diverzifikácia výroby existujúceho podniku na nové výrobky</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d)</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nová inovácia výrobného postupu v existujúcom podniku</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e)</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nadobudnutie aktív patriacich podniku, ktorý ukončil činnosť alebo by ju bol ukončil, ak by nebol kúpený, pričom tento podnik kúpil investor bez väzieb na predávajúceho, pod podmienkou, že nová činnosť, ktorá sa má vykonávať s využitím nadobudnutých aktív, nie je rovnaká alebo podobná ako činnosť, ktorá sa v podniku vykonávala pred nadobudnutím.</w:t>
      </w:r>
    </w:p>
    <w:p w:rsidR="003B12C5" w:rsidRPr="003B12C5" w:rsidRDefault="003B12C5" w:rsidP="003B12C5">
      <w:pPr>
        <w:numPr>
          <w:ilvl w:val="2"/>
          <w:numId w:val="4"/>
        </w:numPr>
        <w:spacing w:before="120" w:after="0" w:line="240" w:lineRule="auto"/>
        <w:ind w:left="1276"/>
        <w:jc w:val="both"/>
        <w:rPr>
          <w:rFonts w:ascii="Times New Roman" w:hAnsi="Times New Roman"/>
          <w:sz w:val="24"/>
          <w:lang w:val="sk-SK"/>
        </w:rPr>
      </w:pPr>
      <w:r w:rsidRPr="003B12C5">
        <w:rPr>
          <w:rFonts w:ascii="Times New Roman" w:hAnsi="Times New Roman"/>
          <w:sz w:val="24"/>
          <w:lang w:val="sk-SK"/>
        </w:rPr>
        <w:t>Uveďte odkaz na príslušné ustanovenia právneho základu, v ktorých sa stanovuje, že budete Komisii notifikovať každú jednotlivú pomoc, ktorá sa má poskytnúť podľa právneho základu schémy veľkým podnikom v oblastiach „c“ (body 24 a 34 usmernení o regionálnej štátnej pomoci):</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t>diverzifikácia výroby existujúceho podniku na nové produkty,</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t>nová inovácia výrobného postupu v existujúcom podniku.</w:t>
      </w:r>
    </w:p>
    <w:p w:rsidR="003B12C5" w:rsidRPr="003B12C5" w:rsidRDefault="003B12C5" w:rsidP="003B12C5">
      <w:pPr>
        <w:tabs>
          <w:tab w:val="left" w:pos="720"/>
          <w:tab w:val="left" w:pos="1077"/>
          <w:tab w:val="left" w:leader="dot" w:pos="9072"/>
        </w:tabs>
        <w:spacing w:after="0" w:line="240" w:lineRule="auto"/>
        <w:ind w:left="1843"/>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numPr>
          <w:ilvl w:val="2"/>
          <w:numId w:val="4"/>
        </w:numPr>
        <w:spacing w:before="120" w:after="0" w:line="240" w:lineRule="auto"/>
        <w:ind w:left="1276"/>
        <w:jc w:val="both"/>
        <w:rPr>
          <w:rFonts w:ascii="Times New Roman" w:hAnsi="Times New Roman"/>
          <w:sz w:val="24"/>
          <w:szCs w:val="24"/>
          <w:lang w:val="sk-SK"/>
        </w:rPr>
      </w:pPr>
      <w:r w:rsidRPr="003B12C5">
        <w:rPr>
          <w:rFonts w:ascii="Times New Roman" w:hAnsi="Times New Roman"/>
          <w:sz w:val="24"/>
          <w:lang w:val="sk-SK"/>
        </w:rPr>
        <w:t>Uveďte odkaz na príslušné ustanovenia právneho základu, v ktorých sa stanovuje, že budete Komisii notifikovať každú jednotlivú pomoc, ktorá sa má poskytnúť podľa právneho základu schémy a ktorá by viedla k prekročeniu stropu vymedzujúceho notifikačnú povinnosť</w:t>
      </w:r>
      <w:r w:rsidRPr="003B12C5">
        <w:rPr>
          <w:rFonts w:ascii="Times New Roman" w:hAnsi="Times New Roman"/>
          <w:sz w:val="24"/>
          <w:vertAlign w:val="superscript"/>
          <w:lang w:val="sk-SK"/>
        </w:rPr>
        <w:footnoteReference w:id="14"/>
      </w:r>
      <w:r w:rsidRPr="003B12C5">
        <w:rPr>
          <w:rFonts w:ascii="Times New Roman" w:hAnsi="Times New Roman"/>
          <w:sz w:val="24"/>
          <w:lang w:val="sk-SK"/>
        </w:rPr>
        <w:t xml:space="preserve"> (bod 23 usmernení o regionálnej štátnej pomoci).</w:t>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33E65">
      <w:pPr>
        <w:numPr>
          <w:ilvl w:val="1"/>
          <w:numId w:val="4"/>
        </w:numPr>
        <w:spacing w:before="120" w:after="0" w:line="240" w:lineRule="auto"/>
        <w:ind w:hanging="792"/>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Oprávnené náklady vypočítané na základe investičných nákladov</w:t>
      </w:r>
    </w:p>
    <w:p w:rsidR="003B12C5" w:rsidRPr="003B12C5" w:rsidRDefault="003B12C5" w:rsidP="003B12C5">
      <w:pPr>
        <w:numPr>
          <w:ilvl w:val="2"/>
          <w:numId w:val="3"/>
        </w:numPr>
        <w:spacing w:before="120" w:after="0" w:line="240" w:lineRule="auto"/>
        <w:jc w:val="both"/>
        <w:rPr>
          <w:rFonts w:ascii="Times New Roman" w:hAnsi="Times New Roman"/>
          <w:sz w:val="24"/>
          <w:szCs w:val="24"/>
          <w:lang w:val="sk-SK"/>
        </w:rPr>
      </w:pPr>
      <w:r w:rsidRPr="003B12C5">
        <w:rPr>
          <w:rFonts w:ascii="Times New Roman" w:hAnsi="Times New Roman"/>
          <w:sz w:val="24"/>
          <w:lang w:val="sk-SK"/>
        </w:rPr>
        <w:lastRenderedPageBreak/>
        <w:t xml:space="preserve">Ak sa oprávnené náklady [bod 20 písm. x) usmernení o regionálnej štátnej pomoci] v rámci schémy týkajú hmotného majetku, je hodnota investície stanovená ako percentuálny podiel na základe pozemkov, budov, strojov, prístrojov a zariadení? </w:t>
      </w:r>
      <w:r w:rsidRPr="003B12C5">
        <w:rPr>
          <w:rFonts w:ascii="Times New Roman" w:hAnsi="Times New Roman"/>
          <w:sz w:val="24"/>
          <w:vertAlign w:val="superscript"/>
          <w:lang w:val="sk-SK"/>
        </w:rPr>
        <w:footnoteReference w:id="15"/>
      </w:r>
      <w:r w:rsidRPr="003B12C5">
        <w:rPr>
          <w:rFonts w:ascii="Times New Roman" w:hAnsi="Times New Roman"/>
          <w:sz w:val="24"/>
          <w:lang w:val="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pozemkov</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budov</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strojov/prístrojov/zariadení</w:t>
      </w:r>
    </w:p>
    <w:p w:rsidR="003B12C5" w:rsidRPr="003B12C5" w:rsidRDefault="003B12C5" w:rsidP="003B12C5">
      <w:pPr>
        <w:tabs>
          <w:tab w:val="num" w:pos="360"/>
        </w:tabs>
        <w:spacing w:before="100" w:beforeAutospacing="1" w:after="100" w:afterAutospacing="1" w:line="240" w:lineRule="auto"/>
        <w:ind w:left="1417"/>
        <w:jc w:val="both"/>
        <w:rPr>
          <w:rFonts w:ascii="Times New Roman" w:hAnsi="Times New Roman"/>
          <w:sz w:val="24"/>
          <w:lang w:val="sk-SK"/>
        </w:rPr>
      </w:pPr>
      <w:r w:rsidRPr="003B12C5">
        <w:rPr>
          <w:rFonts w:ascii="Times New Roman" w:hAnsi="Times New Roman"/>
          <w:sz w:val="24"/>
          <w:lang w:val="sk-SK"/>
        </w:rPr>
        <w:t>Uveďte odkaz na príslušné časti právneho základu:</w:t>
      </w:r>
    </w:p>
    <w:p w:rsidR="003B12C5" w:rsidRPr="003B12C5" w:rsidRDefault="003B12C5" w:rsidP="003B12C5">
      <w:pPr>
        <w:tabs>
          <w:tab w:val="left" w:pos="720"/>
          <w:tab w:val="left" w:pos="1077"/>
          <w:tab w:val="left" w:leader="dot" w:pos="9072"/>
        </w:tabs>
        <w:spacing w:after="0" w:line="240" w:lineRule="auto"/>
        <w:ind w:left="1134"/>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077"/>
          <w:tab w:val="left" w:leader="dot" w:pos="9072"/>
        </w:tabs>
        <w:spacing w:after="0" w:line="240" w:lineRule="auto"/>
        <w:ind w:left="2410"/>
        <w:jc w:val="both"/>
        <w:rPr>
          <w:rFonts w:ascii="Times New Roman" w:eastAsia="Times New Roman" w:hAnsi="Times New Roman" w:cs="Arial Unicode MS"/>
          <w:sz w:val="24"/>
          <w:szCs w:val="24"/>
          <w:lang w:val="sk-SK" w:eastAsia="sk-SK" w:bidi="sk-SK"/>
        </w:rPr>
      </w:pPr>
    </w:p>
    <w:p w:rsidR="003B12C5" w:rsidRPr="003B12C5" w:rsidRDefault="003B12C5" w:rsidP="003B12C5">
      <w:pPr>
        <w:numPr>
          <w:ilvl w:val="2"/>
          <w:numId w:val="3"/>
        </w:numPr>
        <w:spacing w:before="120" w:after="0" w:line="240" w:lineRule="auto"/>
        <w:jc w:val="both"/>
        <w:rPr>
          <w:rFonts w:ascii="Times New Roman" w:hAnsi="Times New Roman"/>
          <w:sz w:val="24"/>
          <w:szCs w:val="24"/>
          <w:lang w:val="sk-SK"/>
        </w:rPr>
      </w:pPr>
      <w:r w:rsidRPr="003B12C5">
        <w:rPr>
          <w:rFonts w:ascii="Times New Roman" w:hAnsi="Times New Roman"/>
          <w:sz w:val="24"/>
          <w:lang w:val="sk-SK"/>
        </w:rPr>
        <w:t xml:space="preserve">Uveďte odkaz </w:t>
      </w:r>
      <w:bookmarkStart w:id="3" w:name="OLE_LINK1"/>
      <w:bookmarkStart w:id="4" w:name="OLE_LINK2"/>
      <w:r w:rsidRPr="003B12C5">
        <w:rPr>
          <w:rFonts w:ascii="Times New Roman" w:hAnsi="Times New Roman"/>
          <w:sz w:val="24"/>
          <w:lang w:val="sk-SK"/>
        </w:rPr>
        <w:t xml:space="preserve">na príslušné </w:t>
      </w:r>
      <w:bookmarkEnd w:id="3"/>
      <w:bookmarkEnd w:id="4"/>
      <w:r w:rsidRPr="003B12C5">
        <w:rPr>
          <w:rFonts w:ascii="Times New Roman" w:hAnsi="Times New Roman"/>
          <w:sz w:val="24"/>
          <w:lang w:val="sk-SK"/>
        </w:rPr>
        <w:t>ustanovenie právneho základu, v ktorom sa stanovuje, že nadobudnuté aktíva by mali byť nové</w:t>
      </w:r>
      <w:r w:rsidRPr="003B12C5">
        <w:rPr>
          <w:rFonts w:ascii="Times New Roman" w:hAnsi="Times New Roman"/>
          <w:sz w:val="24"/>
          <w:vertAlign w:val="superscript"/>
          <w:lang w:val="sk-SK"/>
        </w:rPr>
        <w:footnoteReference w:id="16"/>
      </w:r>
      <w:r w:rsidRPr="003B12C5">
        <w:rPr>
          <w:rFonts w:ascii="Times New Roman" w:hAnsi="Times New Roman"/>
          <w:sz w:val="24"/>
          <w:lang w:val="sk-SK"/>
        </w:rPr>
        <w:t>? (bod 94 usmernení o regionálnej štátnej pomoci).</w:t>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Uveďte odkaz na príslušné ustanovenie právneho základu, v ktorom sa stanovuje, že v prípade MSP sa za oprávnené náklady môže považovať maximálne 50 % nákladov na prípravné štúdie alebo poradenstvo súvisiace s investíciou (bod 95 usmernení o regionálnej štátnej pomoci).</w:t>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Uveďte odkaz na príslušné ustanovenie právneho základu, v ktorom sa stanovuje, že v prípade pomoci poskytnutej na podstatnú zmenu vo výrobnom procese sú oprávnené náklady vyššie ako odpisy nákladov v súvislosti s činnosťou, ktorá sa mala modernizovať v priebehu predchádzajúcich troch rozpočtových rokov (bod 96 usmernení o regionálnej štátnej pomoci).</w:t>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Uveďte odkaz na príslušné ustanovenie právneho základu, v ktorom sa stanovuje, že v prípade pomoci poskytnutej na diverzifikáciu existujúceho podniku oprávnené náklady prevyšujú aspoň o 200 % účtovnú hodnotu aktív, ktoré sa opätovne využívajú, zaznamenanú v rozpočtovom roku predchádzajúcom začiatku prác (bod 97 usmernení o regionálnej štátnej pomoci).</w:t>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tabs>
          <w:tab w:val="left" w:pos="720"/>
          <w:tab w:val="left" w:pos="1077"/>
          <w:tab w:val="left" w:leader="dot" w:pos="9072"/>
        </w:tabs>
        <w:spacing w:after="0" w:line="240" w:lineRule="auto"/>
        <w:ind w:left="1276"/>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b/>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V prípadoch zahŕňajúcich lízing hmotných aktív uveďte odkaz na príslušné ustanovenia právneho základu, v ktorých sa stanovuje, že by mali byť dodržané tieto podmienky (bod 98 usmernení o regionálnej štátnej pomoci):</w:t>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szCs w:val="24"/>
          <w:lang w:val="sk-SK"/>
        </w:rPr>
      </w:pPr>
      <w:r w:rsidRPr="003B12C5">
        <w:rPr>
          <w:rFonts w:ascii="Times New Roman" w:hAnsi="Times New Roman"/>
          <w:sz w:val="24"/>
          <w:lang w:val="sk-SK"/>
        </w:rPr>
        <w:lastRenderedPageBreak/>
        <w:t>•</w:t>
      </w:r>
      <w:r w:rsidRPr="003B12C5">
        <w:rPr>
          <w:rFonts w:ascii="Times New Roman" w:hAnsi="Times New Roman"/>
          <w:sz w:val="24"/>
          <w:lang w:val="sk-SK"/>
        </w:rPr>
        <w:tab/>
        <w:t>v prípade pozemkov a budov musí prenájom pokračovať najmenej päť rokov po predpokladanom dátume ukončenia investície pre veľké podniky a tri roky pre MSP,</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lang w:val="sk-SK"/>
        </w:rPr>
      </w:pPr>
      <w:r w:rsidRPr="003B12C5">
        <w:rPr>
          <w:rFonts w:ascii="Times New Roman" w:hAnsi="Times New Roman"/>
          <w:sz w:val="24"/>
          <w:lang w:val="sk-SK"/>
        </w:rPr>
        <w:t>•</w:t>
      </w:r>
      <w:r w:rsidRPr="003B12C5">
        <w:rPr>
          <w:rFonts w:ascii="Times New Roman" w:hAnsi="Times New Roman"/>
          <w:sz w:val="24"/>
          <w:lang w:val="sk-SK"/>
        </w:rPr>
        <w:tab/>
        <w:t>v prípade zariadenia alebo strojov musí byť prenájom vo forme finančného lízingu a musí zahŕňať záväzok pre príjemcu pomoci odkúpiť majetok po uplynutí doby prenájmu.</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V bode 99 usmernení o regionálnej štátnej pomoci sa stanovuje, že „v prípade nadobudnutia podniku by sa mali zohľadniť len náklady za nákup aktív od tretích strán nezávislých od nadobúdateľa. Transakcia musí prebehnúť podľa trhových pravidiel. Ak sa už poskytla pomoc na nadobudnutie aktív pred ich nákupom, náklady na tieto aktíva by sa mali odpočítať od oprávnených nákladov súvisiacich s nadobudnutím podniku. Ak nadobudnutie podniku sprevádza dodatočná investícia oprávnená na poskytnutie pomoci, oprávnené náklady na túto dodatočnú investíciu by sa mali pripočítať k nákladom na nákup aktív podniku.“</w:t>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lang w:val="sk-SK"/>
        </w:rPr>
      </w:pPr>
      <w:r w:rsidRPr="003B12C5">
        <w:rPr>
          <w:rFonts w:ascii="Times New Roman" w:hAnsi="Times New Roman"/>
          <w:sz w:val="24"/>
          <w:lang w:val="sk-SK"/>
        </w:rPr>
        <w:t>Ak je to v notifikovanej schéme dôležité, uveďte odkaz na</w:t>
      </w:r>
      <w:r w:rsidRPr="003B12C5">
        <w:rPr>
          <w:rFonts w:ascii="Times New Roman" w:hAnsi="Times New Roman"/>
          <w:color w:val="000000"/>
          <w:sz w:val="24"/>
          <w:lang w:val="sk-SK"/>
        </w:rPr>
        <w:t xml:space="preserve"> ustanovenia právneho základu, v ktorých sa stanovuje, že by sa mali dodržať </w:t>
      </w:r>
      <w:r w:rsidRPr="003B12C5">
        <w:rPr>
          <w:rFonts w:ascii="Times New Roman" w:hAnsi="Times New Roman"/>
          <w:sz w:val="24"/>
          <w:lang w:val="sk-SK"/>
        </w:rPr>
        <w:t>podmienky uvedené v tomto bode.</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3"/>
        </w:numPr>
        <w:spacing w:before="120" w:after="0" w:line="240" w:lineRule="auto"/>
        <w:jc w:val="both"/>
        <w:rPr>
          <w:rFonts w:ascii="Times New Roman" w:hAnsi="Times New Roman"/>
          <w:sz w:val="24"/>
          <w:szCs w:val="24"/>
          <w:lang w:val="sk-SK"/>
        </w:rPr>
      </w:pPr>
      <w:r w:rsidRPr="003B12C5">
        <w:rPr>
          <w:rFonts w:ascii="Times New Roman" w:hAnsi="Times New Roman"/>
          <w:sz w:val="24"/>
          <w:lang w:val="sk-SK"/>
        </w:rPr>
        <w:t>Ak sa oprávnené náklady v rámci schémy týkajú nehmotného majetku [bod 20 písm. j) usmernení o regionálnej štátnej pomoci], je hodnota investície stanovená na základe nákladov vynaložených na technologický transfer formou nadobudnutia patentových práv, licencií, know-how alebo nepatentovaných technických znalostí?</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patentových práv</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licencií</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know-how</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d)</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nepatentovaných technických znalostí</w:t>
      </w:r>
    </w:p>
    <w:p w:rsidR="003B12C5" w:rsidRPr="003B12C5" w:rsidRDefault="003B12C5" w:rsidP="003B12C5">
      <w:pPr>
        <w:spacing w:after="240" w:line="240" w:lineRule="auto"/>
        <w:ind w:left="1360"/>
        <w:jc w:val="both"/>
        <w:rPr>
          <w:rFonts w:ascii="Times New Roman" w:eastAsia="Times New Roman" w:hAnsi="Times New Roman"/>
          <w:sz w:val="24"/>
          <w:szCs w:val="20"/>
          <w:lang w:val="sk-SK"/>
        </w:rPr>
      </w:pPr>
      <w:r w:rsidRPr="003B12C5">
        <w:rPr>
          <w:rFonts w:ascii="Times New Roman" w:eastAsia="Times New Roman" w:hAnsi="Times New Roman"/>
          <w:sz w:val="24"/>
          <w:szCs w:val="20"/>
          <w:lang w:val="sk-SK"/>
        </w:rPr>
        <w:t>Uveďte odkaz na príslušné časti právneho základu:</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3"/>
        </w:numPr>
        <w:spacing w:before="120" w:after="0" w:line="240" w:lineRule="auto"/>
        <w:jc w:val="both"/>
        <w:rPr>
          <w:rFonts w:ascii="Times New Roman" w:hAnsi="Times New Roman"/>
          <w:sz w:val="24"/>
          <w:szCs w:val="24"/>
          <w:lang w:val="sk-SK"/>
        </w:rPr>
      </w:pPr>
      <w:r w:rsidRPr="003B12C5">
        <w:rPr>
          <w:rFonts w:ascii="Times New Roman" w:hAnsi="Times New Roman"/>
          <w:sz w:val="24"/>
          <w:lang w:val="sk-SK"/>
        </w:rPr>
        <w:t>Uveďte odkaz na príslušné ustanovenia právneho základu, v ktorých sa stanovuje, že pokiaľ ide o veľké podniky, náklady na oprávnené investície do nehmotného majetku nesmú prekročiť 50 % celkových oprávnených investičných nákladov na projekt (bod 100 usmernení o regionálnej štátnej pomoci).</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3"/>
        </w:numPr>
        <w:spacing w:before="120" w:after="0" w:line="240" w:lineRule="auto"/>
        <w:jc w:val="both"/>
        <w:rPr>
          <w:rFonts w:ascii="Times New Roman" w:hAnsi="Times New Roman"/>
          <w:sz w:val="24"/>
          <w:lang w:val="sk-SK"/>
        </w:rPr>
      </w:pPr>
      <w:r w:rsidRPr="003B12C5">
        <w:rPr>
          <w:rFonts w:ascii="Times New Roman" w:hAnsi="Times New Roman"/>
          <w:sz w:val="24"/>
          <w:lang w:val="sk-SK"/>
        </w:rPr>
        <w:t>Uveďte odkaz na príslušné ustanovenia právneho základu, v ktorých sa stanovuje, že by mali byť dodržané podmienky uvedené v bodoch 101 a 102 usmernení o regionálnej štátnej pomoci</w:t>
      </w:r>
      <w:r w:rsidRPr="003B12C5">
        <w:rPr>
          <w:rFonts w:ascii="Times New Roman" w:hAnsi="Times New Roman"/>
          <w:sz w:val="24"/>
          <w:vertAlign w:val="superscript"/>
          <w:lang w:val="sk-SK"/>
        </w:rPr>
        <w:footnoteReference w:id="17"/>
      </w:r>
      <w:r w:rsidRPr="003B12C5">
        <w:rPr>
          <w:rFonts w:ascii="Times New Roman" w:hAnsi="Times New Roman"/>
          <w:sz w:val="24"/>
          <w:lang w:val="sk-SK"/>
        </w:rPr>
        <w:t>.</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1"/>
          <w:numId w:val="4"/>
        </w:numPr>
        <w:spacing w:before="120" w:after="120" w:line="240" w:lineRule="auto"/>
        <w:ind w:hanging="792"/>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Oprávnené náklady vypočítané na základe mzdových nákladov</w:t>
      </w:r>
    </w:p>
    <w:p w:rsidR="003B12C5" w:rsidRPr="003B12C5" w:rsidRDefault="003B12C5" w:rsidP="003B12C5">
      <w:pPr>
        <w:numPr>
          <w:ilvl w:val="2"/>
          <w:numId w:val="0"/>
        </w:numPr>
        <w:tabs>
          <w:tab w:val="num" w:pos="850"/>
        </w:tabs>
        <w:spacing w:before="120" w:after="120" w:line="240" w:lineRule="auto"/>
        <w:ind w:left="720"/>
        <w:jc w:val="both"/>
        <w:rPr>
          <w:rFonts w:ascii="Times New Roman" w:hAnsi="Times New Roman"/>
          <w:sz w:val="24"/>
          <w:szCs w:val="24"/>
          <w:lang w:val="sk-SK"/>
        </w:rPr>
      </w:pPr>
      <w:r w:rsidRPr="003B12C5">
        <w:rPr>
          <w:rFonts w:ascii="Times New Roman" w:hAnsi="Times New Roman"/>
          <w:sz w:val="24"/>
          <w:lang w:val="sk-SK"/>
        </w:rPr>
        <w:t>Uveďte odkaz na príslušné ustanovenia právneho základu, v ktorých sa stanovuje, ako by sa mali určiť oprávnené náklady vypočítané na základe mzdových nákladov (bod 103 usmernení o regionálnej štátnej pomoci), ako by sa mal vypočítať počet vytvorených pracovných miest s odkazom na bod 20 písm. k) usmernení o regionálnej štátnej pomoci a ako by sa mali stanoviť mzdové náklady na zamestnané osoby s odkazom na bod 20 písm. z) usmernení o regionálnej štátnej pomoc.</w:t>
      </w:r>
    </w:p>
    <w:p w:rsidR="003B12C5" w:rsidRPr="003B12C5" w:rsidRDefault="003B12C5" w:rsidP="003B12C5">
      <w:pPr>
        <w:tabs>
          <w:tab w:val="left" w:pos="9072"/>
        </w:tabs>
        <w:spacing w:before="120" w:after="120" w:line="240" w:lineRule="auto"/>
        <w:ind w:left="709"/>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1"/>
          <w:numId w:val="4"/>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Výpočet diskontovaných oprávnených nákladov</w:t>
      </w:r>
    </w:p>
    <w:p w:rsidR="003B12C5" w:rsidRDefault="003B12C5" w:rsidP="003B12C5">
      <w:pPr>
        <w:numPr>
          <w:ilvl w:val="2"/>
          <w:numId w:val="4"/>
        </w:numPr>
        <w:spacing w:before="100" w:beforeAutospacing="1" w:after="100" w:afterAutospacing="1"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ktoré formy pomoci sú v rámci schémy povolené:</w:t>
      </w:r>
    </w:p>
    <w:p w:rsidR="00333E65" w:rsidRPr="003B12C5" w:rsidRDefault="00333E65" w:rsidP="00333E65">
      <w:pPr>
        <w:spacing w:before="100" w:beforeAutospacing="1" w:after="100" w:afterAutospacing="1" w:line="240" w:lineRule="auto"/>
        <w:ind w:left="1224"/>
        <w:contextualSpacing/>
        <w:jc w:val="both"/>
        <w:rPr>
          <w:rFonts w:ascii="Times New Roman" w:hAnsi="Times New Roman"/>
          <w:sz w:val="24"/>
          <w:szCs w:val="20"/>
          <w:lang w:val="sk-SK" w:eastAsia="sk-SK" w:bidi="sk-SK"/>
        </w:rPr>
      </w:pP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a)</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granty. Uveďte odkaz na príslušné ustanovenia právneho základu:</w:t>
      </w:r>
    </w:p>
    <w:p w:rsidR="003B12C5" w:rsidRPr="003B12C5" w:rsidRDefault="003B12C5" w:rsidP="003B12C5">
      <w:pPr>
        <w:tabs>
          <w:tab w:val="left" w:pos="720"/>
          <w:tab w:val="left" w:pos="1440"/>
          <w:tab w:val="left" w:pos="1797"/>
        </w:tabs>
        <w:spacing w:before="100" w:beforeAutospacing="1" w:after="100" w:afterAutospacing="1" w:line="240" w:lineRule="auto"/>
        <w:ind w:left="144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b)</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zvýhodnené úvery. Uveďte, ako sa vypočíta ekvivalent grantu, a poskytnite odkaz na príslušné ustanovenia právneho základu:</w:t>
      </w:r>
    </w:p>
    <w:p w:rsidR="003B12C5" w:rsidRPr="003B12C5" w:rsidRDefault="003B12C5" w:rsidP="003B12C5">
      <w:pPr>
        <w:tabs>
          <w:tab w:val="left" w:pos="720"/>
          <w:tab w:val="left" w:pos="1440"/>
          <w:tab w:val="left" w:pos="1797"/>
        </w:tabs>
        <w:spacing w:before="100" w:beforeAutospacing="1" w:after="100" w:afterAutospacing="1" w:line="240" w:lineRule="auto"/>
        <w:ind w:left="144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c)</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záruky. Uveďte, ako sa vypočíta ekvivalent grantu, a poskytnite odkaz na príslušné ustanovenia právneho základu:</w:t>
      </w:r>
    </w:p>
    <w:p w:rsidR="003B12C5" w:rsidRPr="003B12C5" w:rsidRDefault="003B12C5" w:rsidP="003B12C5">
      <w:pPr>
        <w:tabs>
          <w:tab w:val="left" w:pos="720"/>
          <w:tab w:val="left" w:pos="1440"/>
          <w:tab w:val="left" w:pos="1797"/>
        </w:tabs>
        <w:spacing w:before="100" w:beforeAutospacing="1" w:after="100" w:afterAutospacing="1" w:line="240" w:lineRule="auto"/>
        <w:ind w:left="144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d)</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daňové opatrenia. Spresnite druh opatrenia a uveďte, ako sa vypočíta ekvivalent grantu; uveďte aj odkaz na príslušné ustanovenia právneho základu:</w:t>
      </w:r>
    </w:p>
    <w:p w:rsidR="003B12C5" w:rsidRPr="003B12C5" w:rsidRDefault="003B12C5" w:rsidP="003B12C5">
      <w:pPr>
        <w:tabs>
          <w:tab w:val="left" w:pos="720"/>
          <w:tab w:val="left" w:pos="1440"/>
          <w:tab w:val="left" w:pos="1797"/>
        </w:tabs>
        <w:spacing w:before="100" w:beforeAutospacing="1" w:after="100" w:afterAutospacing="1" w:line="240" w:lineRule="auto"/>
        <w:ind w:left="144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w:t>
      </w:r>
    </w:p>
    <w:p w:rsidR="003B12C5" w:rsidRPr="003B12C5" w:rsidRDefault="003B12C5" w:rsidP="003B12C5">
      <w:pPr>
        <w:tabs>
          <w:tab w:val="left" w:pos="720"/>
          <w:tab w:val="left" w:pos="1440"/>
          <w:tab w:val="left" w:pos="1797"/>
        </w:tabs>
        <w:spacing w:before="100" w:beforeAutospacing="1" w:after="100" w:afterAutospacing="1" w:line="240" w:lineRule="auto"/>
        <w:ind w:left="108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t>e)</w:t>
      </w:r>
      <w:r w:rsidRPr="003B12C5">
        <w:rPr>
          <w:rFonts w:ascii="Times New Roman" w:eastAsia="Times New Roman" w:hAnsi="Times New Roman" w:cs="Arial Unicode MS"/>
          <w:sz w:val="24"/>
          <w:szCs w:val="24"/>
          <w:lang w:val="sk-SK" w:eastAsia="sk-SK" w:bidi="sk-SK"/>
        </w:rPr>
        <w:tab/>
      </w: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iné. Spresnite a uveďte, ako sa vypočíta ekvivalent grantu; uveďte aj odkaz na príslušné ustanovenia právneho základu:</w:t>
      </w:r>
    </w:p>
    <w:p w:rsidR="003B12C5" w:rsidRPr="003B12C5" w:rsidRDefault="003B12C5" w:rsidP="003B12C5">
      <w:pPr>
        <w:tabs>
          <w:tab w:val="left" w:leader="dot" w:pos="1843"/>
          <w:tab w:val="left" w:pos="9072"/>
        </w:tabs>
        <w:spacing w:before="120" w:after="120" w:line="240" w:lineRule="auto"/>
        <w:ind w:left="1843"/>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4"/>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Je schéma pomoci oprávnená na spolufinancovanie z fondov EŠIF? Ak áno, uveďte, z ktorého operačného programu EŠIF by bolo možné získať finančné prostriedky. Uveďte aj sumu finančných prostriedkov z fondov EŠIF, z ktorých sa bude pomoc čerpať, ak sú v tejto fáze známe.</w:t>
      </w:r>
    </w:p>
    <w:p w:rsidR="003B12C5" w:rsidRPr="003B12C5" w:rsidRDefault="003B12C5" w:rsidP="003B12C5">
      <w:pPr>
        <w:tabs>
          <w:tab w:val="left" w:leader="dot" w:pos="1276"/>
          <w:tab w:val="lef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4"/>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 xml:space="preserve">Uveďte odkaz na príslušné ustanovenia právneho základu, v ktorých sa stanovuje, že </w:t>
      </w:r>
      <w:r w:rsidRPr="003B12C5">
        <w:rPr>
          <w:rFonts w:ascii="Times New Roman" w:hAnsi="Times New Roman"/>
          <w:color w:val="000000"/>
          <w:sz w:val="24"/>
          <w:szCs w:val="20"/>
          <w:lang w:val="sk-SK" w:eastAsia="sk-SK" w:bidi="sk-SK"/>
        </w:rPr>
        <w:t xml:space="preserve">orgán poskytujúci pomoc by mal pred poskytnutím individuálnej pomoci v rámci notifikovanej schémy určiť, či </w:t>
      </w:r>
      <w:r w:rsidRPr="003B12C5">
        <w:rPr>
          <w:rFonts w:ascii="Times New Roman" w:hAnsi="Times New Roman"/>
          <w:sz w:val="24"/>
          <w:szCs w:val="20"/>
          <w:lang w:val="sk-SK" w:eastAsia="sk-SK" w:bidi="sk-SK"/>
        </w:rPr>
        <w:t>príjemca (na úrovni skupiny) získal pomoc na jednu počiatočnú investíciu (alebo viac) v rovnakom regióne NUTS 3 v období troch rokov od dátumu začatia prác na investičnom projekte.</w:t>
      </w:r>
    </w:p>
    <w:p w:rsidR="003B12C5" w:rsidRPr="003B12C5" w:rsidRDefault="003B12C5" w:rsidP="003B12C5">
      <w:pPr>
        <w:tabs>
          <w:tab w:val="left" w:leader="dot" w:pos="1276"/>
          <w:tab w:val="lef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4"/>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celková suma pomoci, ktorá sa poskytne v rámci schémy na každý počiatočný investičný projekt, nepresahuje „maximálnu intenzitu pomoci“ [podľa bodu 20 písm. m) usmernení o regionálnej štátnej pomoci] so zreteľom na zvýšenú intenzitu pomoci pre MSP (vymedzenú v bode 177 usmernení o regionálnej štátnej pomoci), prípadne „upravenú výšku pomoci“ [podľa bodu 20 písm. c) usmernení o regionálnej štátnej pomoci].</w:t>
      </w:r>
    </w:p>
    <w:p w:rsidR="003B12C5" w:rsidRPr="003B12C5" w:rsidRDefault="003B12C5" w:rsidP="003B12C5">
      <w:pPr>
        <w:tabs>
          <w:tab w:val="left" w:leader="dot" w:pos="1276"/>
          <w:tab w:val="lef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4"/>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 xml:space="preserve">Uveďte odkaz na príslušné ustanovenia právneho základu, v ktorých sa stanovuje, že ak sa individuálna pomoc poskytuje v rámci viacerých regionálnych schém pomoci alebo sa kumuluje s pomocou </w:t>
      </w:r>
      <w:r w:rsidRPr="003B12C5">
        <w:rPr>
          <w:rFonts w:ascii="Times New Roman" w:hAnsi="Times New Roman"/>
          <w:i/>
          <w:sz w:val="24"/>
          <w:szCs w:val="20"/>
          <w:lang w:val="sk-SK" w:eastAsia="sk-SK" w:bidi="sk-SK"/>
        </w:rPr>
        <w:t>ad hoc</w:t>
      </w:r>
      <w:r w:rsidRPr="003B12C5">
        <w:rPr>
          <w:rFonts w:ascii="Times New Roman" w:hAnsi="Times New Roman"/>
          <w:sz w:val="24"/>
          <w:szCs w:val="20"/>
          <w:lang w:val="sk-SK" w:eastAsia="sk-SK" w:bidi="sk-SK"/>
        </w:rPr>
        <w:t>, maximálnu prípustnú intenzitu pomoci, ktorá sa môže na projekt poskytnúť, vopred vypočíta prvý orgán poskytujúci pomoc (bod 92 usmernení o regionálnej štátnej pomoci).</w:t>
      </w:r>
    </w:p>
    <w:p w:rsidR="003B12C5" w:rsidRPr="003B12C5" w:rsidRDefault="003B12C5" w:rsidP="003B12C5">
      <w:pPr>
        <w:tabs>
          <w:tab w:val="left" w:leader="dot" w:pos="1276"/>
          <w:tab w:val="lef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4"/>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Ak sa v schéme pomoci umožňuje poskytnúť pomoc na počiatočnú investíciu spojenú s projektmi Európskej územnej spolupráce (ETC), uveďte odkaz na príslušné ustanovenia právneho základu, v ktorých sa stanovuje (s odkazom na ustanovenia uvedené v bode 93 usmernení regionálnej pomoci), ako sa stanoví maximálna intenzita pomoci pre projekt a rozličných dotknutých príjemcov.</w:t>
      </w:r>
    </w:p>
    <w:p w:rsidR="003B12C5" w:rsidRPr="003B12C5" w:rsidRDefault="003B12C5" w:rsidP="003B12C5">
      <w:pPr>
        <w:tabs>
          <w:tab w:val="left" w:leader="dot" w:pos="1276"/>
          <w:tab w:val="left" w:pos="9072"/>
        </w:tabs>
        <w:spacing w:before="120" w:after="120" w:line="240" w:lineRule="auto"/>
        <w:ind w:left="1276"/>
        <w:jc w:val="both"/>
        <w:rPr>
          <w:rFonts w:ascii="Times New Roman" w:hAnsi="Times New Roman"/>
          <w:sz w:val="24"/>
          <w:lang w:val="sk-SK"/>
        </w:rPr>
      </w:pPr>
      <w:r w:rsidRPr="003B12C5">
        <w:rPr>
          <w:rFonts w:ascii="Times New Roman" w:hAnsi="Times New Roman"/>
          <w:sz w:val="24"/>
          <w:lang w:val="sk-SK"/>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9"/>
      </w:tblGrid>
      <w:tr w:rsidR="003B12C5" w:rsidRPr="003B12C5" w:rsidTr="00475775">
        <w:trPr>
          <w:trHeight w:val="737"/>
        </w:trPr>
        <w:tc>
          <w:tcPr>
            <w:tcW w:w="9039" w:type="dxa"/>
            <w:tcBorders>
              <w:top w:val="single" w:sz="4" w:space="0" w:color="auto"/>
              <w:left w:val="single" w:sz="4" w:space="0" w:color="auto"/>
              <w:bottom w:val="single" w:sz="4" w:space="0" w:color="auto"/>
              <w:right w:val="single" w:sz="4" w:space="0" w:color="auto"/>
            </w:tcBorders>
            <w:shd w:val="pct15" w:color="auto" w:fill="FFFFFF"/>
          </w:tcPr>
          <w:p w:rsidR="003B12C5" w:rsidRPr="003B12C5" w:rsidRDefault="003B12C5" w:rsidP="003B12C5">
            <w:pPr>
              <w:keepNext/>
              <w:numPr>
                <w:ilvl w:val="0"/>
                <w:numId w:val="1"/>
              </w:numPr>
              <w:tabs>
                <w:tab w:val="left" w:pos="720"/>
                <w:tab w:val="left" w:pos="1077"/>
                <w:tab w:val="left" w:pos="1440"/>
                <w:tab w:val="left" w:pos="1797"/>
              </w:tabs>
              <w:spacing w:before="240" w:after="240" w:line="240" w:lineRule="auto"/>
              <w:jc w:val="both"/>
              <w:outlineLvl w:val="3"/>
              <w:rPr>
                <w:rFonts w:ascii="Times New Roman" w:eastAsia="Times New Roman" w:hAnsi="Times New Roman"/>
                <w:bCs/>
                <w:i/>
                <w:iCs/>
                <w:sz w:val="24"/>
                <w:lang w:val="sk-SK"/>
              </w:rPr>
            </w:pPr>
            <w:r w:rsidRPr="003B12C5">
              <w:rPr>
                <w:rFonts w:ascii="Times New Roman" w:eastAsia="Times New Roman" w:hAnsi="Times New Roman"/>
                <w:bCs/>
                <w:iCs/>
                <w:sz w:val="24"/>
                <w:lang w:val="sk-SK"/>
              </w:rPr>
              <w:t>Posúdenie zlučiteľnosti schémy pomoci</w:t>
            </w:r>
          </w:p>
        </w:tc>
      </w:tr>
    </w:tbl>
    <w:p w:rsidR="00333E65" w:rsidRDefault="00333E65" w:rsidP="00333E65">
      <w:pPr>
        <w:spacing w:before="100" w:beforeAutospacing="1" w:after="100" w:afterAutospacing="1" w:line="240" w:lineRule="auto"/>
        <w:ind w:left="851"/>
        <w:contextualSpacing/>
        <w:jc w:val="both"/>
        <w:rPr>
          <w:rFonts w:ascii="Times New Roman" w:hAnsi="Times New Roman"/>
          <w:b/>
          <w:sz w:val="24"/>
          <w:szCs w:val="20"/>
          <w:lang w:val="sk-SK" w:eastAsia="sk-SK" w:bidi="sk-SK"/>
        </w:rPr>
      </w:pPr>
    </w:p>
    <w:p w:rsidR="003B12C5" w:rsidRPr="003B12C5" w:rsidRDefault="003B12C5" w:rsidP="00333E65">
      <w:pPr>
        <w:numPr>
          <w:ilvl w:val="1"/>
          <w:numId w:val="5"/>
        </w:numPr>
        <w:tabs>
          <w:tab w:val="clear" w:pos="1767"/>
          <w:tab w:val="num" w:pos="840"/>
        </w:tabs>
        <w:spacing w:before="100" w:beforeAutospacing="1" w:after="100" w:afterAutospacing="1" w:line="240" w:lineRule="auto"/>
        <w:ind w:left="851" w:hanging="851"/>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Príspevok k regionálnemu cieľu a potreba štátneho zásahu</w:t>
      </w:r>
    </w:p>
    <w:p w:rsidR="003B12C5" w:rsidRPr="003B12C5" w:rsidRDefault="003B12C5" w:rsidP="003B12C5">
      <w:pPr>
        <w:spacing w:before="100" w:beforeAutospacing="1" w:after="100" w:afterAutospacing="1" w:line="240" w:lineRule="auto"/>
        <w:ind w:left="851"/>
        <w:contextualSpacing/>
        <w:jc w:val="both"/>
        <w:rPr>
          <w:rFonts w:ascii="Times New Roman" w:hAnsi="Times New Roman"/>
          <w:b/>
          <w:sz w:val="24"/>
          <w:szCs w:val="20"/>
          <w:lang w:val="sk-SK" w:eastAsia="sk-SK" w:bidi="sk-SK"/>
        </w:rPr>
      </w:pPr>
    </w:p>
    <w:p w:rsidR="003B12C5" w:rsidRPr="003B12C5" w:rsidRDefault="003B12C5" w:rsidP="003B12C5">
      <w:pPr>
        <w:spacing w:after="0" w:line="240" w:lineRule="auto"/>
        <w:ind w:left="851"/>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Je schéma súčasťou operačného programu</w:t>
      </w:r>
      <w:r w:rsidRPr="003B12C5">
        <w:rPr>
          <w:rFonts w:ascii="Times New Roman" w:hAnsi="Times New Roman"/>
          <w:sz w:val="24"/>
          <w:szCs w:val="20"/>
          <w:vertAlign w:val="superscript"/>
          <w:lang w:val="sk-SK" w:eastAsia="sk-SK" w:bidi="sk-SK"/>
        </w:rPr>
        <w:footnoteReference w:id="18"/>
      </w:r>
      <w:r w:rsidRPr="003B12C5">
        <w:rPr>
          <w:rFonts w:ascii="Times New Roman" w:hAnsi="Times New Roman"/>
          <w:sz w:val="24"/>
          <w:szCs w:val="20"/>
          <w:lang w:val="sk-SK" w:eastAsia="sk-SK" w:bidi="sk-SK"/>
        </w:rPr>
        <w:t xml:space="preserve"> (bod 32 usmernení o regionálnej štátnej pomoci)?</w:t>
      </w:r>
    </w:p>
    <w:p w:rsidR="003B12C5" w:rsidRPr="003B12C5" w:rsidRDefault="003B12C5" w:rsidP="003B12C5">
      <w:pPr>
        <w:numPr>
          <w:ilvl w:val="1"/>
          <w:numId w:val="0"/>
        </w:numPr>
        <w:tabs>
          <w:tab w:val="left" w:pos="720"/>
          <w:tab w:val="num" w:pos="850"/>
        </w:tabs>
        <w:spacing w:before="120" w:after="120" w:line="240" w:lineRule="auto"/>
        <w:ind w:left="1701" w:hanging="425"/>
        <w:jc w:val="both"/>
        <w:rPr>
          <w:rFonts w:ascii="Times New Roman" w:hAnsi="Times New Roman"/>
          <w:sz w:val="24"/>
          <w:lang w:val="sk-SK"/>
        </w:rPr>
      </w:pPr>
      <w:r w:rsidRPr="003B12C5">
        <w:rPr>
          <w:rFonts w:ascii="Times New Roman" w:hAnsi="Times New Roman"/>
          <w:sz w:val="24"/>
          <w:lang w:val="sk-SK"/>
        </w:rPr>
        <w:fldChar w:fldCharType="begin">
          <w:ffData>
            <w:name w:val="Check1"/>
            <w:enabled/>
            <w:calcOnExit w:val="0"/>
            <w:checkBox>
              <w:sizeAuto/>
              <w:default w:val="0"/>
            </w:checkBox>
          </w:ffData>
        </w:fldChar>
      </w:r>
      <w:r w:rsidRPr="003B12C5">
        <w:rPr>
          <w:rFonts w:ascii="Times New Roman" w:hAnsi="Times New Roman"/>
          <w:sz w:val="24"/>
          <w:lang w:val="sk-SK"/>
        </w:rPr>
        <w:instrText xml:space="preserve"> FORMCHECKBOX </w:instrText>
      </w:r>
      <w:r w:rsidRPr="003B12C5">
        <w:rPr>
          <w:rFonts w:ascii="Times New Roman" w:hAnsi="Times New Roman"/>
          <w:sz w:val="24"/>
          <w:lang w:val="sk-SK"/>
        </w:rPr>
      </w:r>
      <w:r w:rsidRPr="003B12C5">
        <w:rPr>
          <w:rFonts w:ascii="Times New Roman" w:hAnsi="Times New Roman"/>
          <w:sz w:val="24"/>
          <w:lang w:val="sk-SK"/>
        </w:rPr>
        <w:fldChar w:fldCharType="separate"/>
      </w:r>
      <w:r w:rsidRPr="003B12C5">
        <w:rPr>
          <w:rFonts w:ascii="Times New Roman" w:hAnsi="Times New Roman"/>
          <w:sz w:val="24"/>
          <w:lang w:val="sk-SK"/>
        </w:rPr>
        <w:fldChar w:fldCharType="end"/>
      </w:r>
      <w:r w:rsidRPr="003B12C5">
        <w:rPr>
          <w:rFonts w:ascii="Times New Roman" w:hAnsi="Times New Roman"/>
          <w:sz w:val="24"/>
          <w:lang w:val="sk-SK"/>
        </w:rPr>
        <w:tab/>
        <w:t>áno. Uveďte odkaz(-y) na príslušný(-é) operačný(-é) program(-y):</w:t>
      </w:r>
    </w:p>
    <w:p w:rsidR="003B12C5" w:rsidRPr="003B12C5" w:rsidRDefault="003B12C5" w:rsidP="003B12C5">
      <w:pPr>
        <w:spacing w:before="120" w:after="120" w:line="240" w:lineRule="auto"/>
        <w:ind w:left="1701"/>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1"/>
          <w:numId w:val="0"/>
        </w:numPr>
        <w:tabs>
          <w:tab w:val="left" w:pos="720"/>
          <w:tab w:val="num" w:pos="850"/>
        </w:tabs>
        <w:spacing w:before="120" w:after="120" w:line="240" w:lineRule="auto"/>
        <w:ind w:left="1701" w:hanging="425"/>
        <w:jc w:val="both"/>
        <w:rPr>
          <w:rFonts w:ascii="Times New Roman" w:hAnsi="Times New Roman"/>
          <w:sz w:val="24"/>
          <w:lang w:val="sk-SK"/>
        </w:rPr>
      </w:pPr>
      <w:r w:rsidRPr="003B12C5">
        <w:rPr>
          <w:rFonts w:ascii="Times New Roman" w:hAnsi="Times New Roman"/>
          <w:sz w:val="24"/>
          <w:lang w:val="sk-SK"/>
        </w:rPr>
        <w:fldChar w:fldCharType="begin">
          <w:ffData>
            <w:name w:val="Check1"/>
            <w:enabled/>
            <w:calcOnExit w:val="0"/>
            <w:checkBox>
              <w:sizeAuto/>
              <w:default w:val="0"/>
            </w:checkBox>
          </w:ffData>
        </w:fldChar>
      </w:r>
      <w:r w:rsidRPr="003B12C5">
        <w:rPr>
          <w:rFonts w:ascii="Times New Roman" w:hAnsi="Times New Roman"/>
          <w:sz w:val="24"/>
          <w:lang w:val="sk-SK"/>
        </w:rPr>
        <w:instrText xml:space="preserve"> FORMCHECKBOX </w:instrText>
      </w:r>
      <w:r w:rsidRPr="003B12C5">
        <w:rPr>
          <w:rFonts w:ascii="Times New Roman" w:hAnsi="Times New Roman"/>
          <w:sz w:val="24"/>
          <w:lang w:val="sk-SK"/>
        </w:rPr>
      </w:r>
      <w:r w:rsidRPr="003B12C5">
        <w:rPr>
          <w:rFonts w:ascii="Times New Roman" w:hAnsi="Times New Roman"/>
          <w:sz w:val="24"/>
          <w:lang w:val="sk-SK"/>
        </w:rPr>
        <w:fldChar w:fldCharType="separate"/>
      </w:r>
      <w:r w:rsidRPr="003B12C5">
        <w:rPr>
          <w:rFonts w:ascii="Times New Roman" w:hAnsi="Times New Roman"/>
          <w:sz w:val="24"/>
          <w:lang w:val="sk-SK"/>
        </w:rPr>
        <w:fldChar w:fldCharType="end"/>
      </w:r>
      <w:r w:rsidRPr="003B12C5">
        <w:rPr>
          <w:rFonts w:ascii="Times New Roman" w:hAnsi="Times New Roman"/>
          <w:sz w:val="24"/>
          <w:lang w:val="sk-SK"/>
        </w:rPr>
        <w:tab/>
        <w:t>Nie. Vysvetlite, akým spôsobom je schéma v súlade so stratégiou rozvoja príslušnej oblasti a ako k nej prispieva (bod 33 usmernení o regionálnej štátnej pomoci):</w:t>
      </w:r>
    </w:p>
    <w:p w:rsidR="003B12C5" w:rsidRPr="003B12C5" w:rsidRDefault="003B12C5" w:rsidP="003B12C5">
      <w:pPr>
        <w:spacing w:before="120" w:after="120" w:line="240" w:lineRule="auto"/>
        <w:ind w:left="1701"/>
        <w:jc w:val="both"/>
        <w:rPr>
          <w:rFonts w:ascii="Times New Roman" w:hAnsi="Times New Roman"/>
          <w:sz w:val="24"/>
          <w:lang w:val="sk-SK"/>
        </w:rPr>
      </w:pPr>
      <w:r w:rsidRPr="003B12C5">
        <w:rPr>
          <w:rFonts w:ascii="Times New Roman" w:hAnsi="Times New Roman"/>
          <w:sz w:val="24"/>
          <w:lang w:val="sk-SK"/>
        </w:rPr>
        <w:t>………………………………………………………………………………..</w:t>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ktoré obsahujú požiadavku, aby sa pred poskytnutím pomoci na jednotlivé projekty vykonalo v prípade príslušných investícií posúdenie vplyvu na životné prostredie, ak sa to vyžaduje v právnych predpisoch (bod 39 usmernení o regionálnej štátnej pomoci) investícií.</w:t>
      </w:r>
    </w:p>
    <w:p w:rsidR="003B12C5" w:rsidRPr="003B12C5" w:rsidRDefault="003B12C5" w:rsidP="003B12C5">
      <w:pPr>
        <w:tabs>
          <w:tab w:val="left" w:leader="dot" w:pos="9072"/>
        </w:tabs>
        <w:spacing w:after="0" w:line="240" w:lineRule="auto"/>
        <w:ind w:left="2487"/>
        <w:contextualSpacing/>
        <w:rPr>
          <w:rFonts w:ascii="Times New Roman" w:hAnsi="Times New Roman"/>
          <w:sz w:val="24"/>
          <w:szCs w:val="20"/>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Vysvetlite, ako orgány poskytujúce pomoc stanovia priority a vyberú investičné projekty v súlade s cieľmi schémy (napríklad na základe formálneho bodovacieho prístupu) (bod 33 usmernení o regionálnej štátnej pomoci). Uveďte aj odkaz na príslušné ustanovenia právneho základu alebo iné súvisiace administratívne akty.</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Vysvetlite, ako pri poskytovaní pomoci na individuálne investičné projekty v rámci notifikovanej schémy orgán poskytujúci pomoc stanoví, že vybraný(-é) projekt(-y) prispieva(-jú) k cieľu schémy, a teda aj k stratégii rozvoja dotknutej oblasti (bod 35 usmernení o regionálnej štátnej pomoci).</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Vysvetlite, ako sa dodrží ustanovenie, v ktorom sa vyžaduje, aby sa každá investícia podporená v rámci notifikovanej schémy zachovala v dotknutej oblasti aspoň po dobu piatich rokov (v prípade MSP po dobu troch rokov) po jej dokončení (bod 36 usmernení o regionálnej štátnej pomoci).  Uveďte odkaz na príslušné ustanovenia právneho základu.</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V prípadoch, keď je pomoc, ktorá bola poskytnutá v rámci notifikovanej schémy, vypočítaná na základe mzdových nákladov, vysvetlite, ako sa dodrží ustanovenie, v ktorom sa vyžaduje, aby sa pracovné miesta vytvorili do troch rokov po dokončení investície a že každé pracovné miesto vytvorené pomocou príslušnej investície sa musí v rámci dotknutej oblasti udržať počas obdobia piatich rokov (v prípade MSP troch rokov) od dátumu, keď bolo toto pracovné miesto prvýkrát obsadené (bod 37 usmernení o regionálnej štátnej pomoci). Uveďte odkaz na príslušné ustanovenie právneho základu.</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príjemcovia musia poskytnúť finančný príspevok vo výške najmenej 25 % oprávnených nákladov, a to buď zo svojich vlastných zdrojov, alebo na základe vonkajšieho financovania nezávislého od akejkoľvek verejnej finančnej podpory</w:t>
      </w:r>
      <w:r w:rsidRPr="003B12C5">
        <w:rPr>
          <w:rFonts w:ascii="Times New Roman" w:hAnsi="Times New Roman"/>
          <w:sz w:val="24"/>
          <w:szCs w:val="20"/>
          <w:vertAlign w:val="superscript"/>
          <w:lang w:val="sk-SK" w:eastAsia="sk-SK" w:bidi="sk-SK"/>
        </w:rPr>
        <w:footnoteReference w:id="19"/>
      </w:r>
      <w:r w:rsidRPr="003B12C5">
        <w:rPr>
          <w:rFonts w:ascii="Times New Roman" w:hAnsi="Times New Roman"/>
          <w:sz w:val="24"/>
          <w:szCs w:val="20"/>
          <w:lang w:val="sk-SK" w:eastAsia="sk-SK" w:bidi="sk-SK"/>
        </w:rPr>
        <w:t xml:space="preserve"> (bod 38 usmernení o regionálnej štátnej pomoci).</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4"/>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6"/>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z ktorých vyplýva, že v schéme by sa mali dodržať stropy podľa mapy regionálnej pomoci platné v čase poskytnutia danej pomoci (bod 81 usmernení o regionálnej štátnej pomoci). Uveďte aj odkaz na rozhodnutie Komisie, ktorým sa schvaľuje príslušná mapa regionálnej pomoci.</w:t>
      </w:r>
    </w:p>
    <w:p w:rsidR="003B12C5" w:rsidRPr="003B12C5" w:rsidRDefault="003B12C5" w:rsidP="003B12C5">
      <w:pPr>
        <w:tabs>
          <w:tab w:val="left" w:leader="dot" w:pos="9072"/>
        </w:tabs>
        <w:spacing w:after="0" w:line="240" w:lineRule="auto"/>
        <w:ind w:left="2487"/>
        <w:contextualSpacing/>
        <w:rPr>
          <w:rFonts w:ascii="Times New Roman" w:hAnsi="Times New Roman"/>
          <w:sz w:val="24"/>
          <w:szCs w:val="20"/>
          <w:lang w:val="sk-SK" w:eastAsia="sk-SK" w:bidi="sk-SK"/>
        </w:rPr>
      </w:pPr>
      <w:r w:rsidRPr="003B12C5">
        <w:rPr>
          <w:rFonts w:ascii="Times New Roman" w:hAnsi="Times New Roman"/>
          <w:sz w:val="24"/>
          <w:szCs w:val="20"/>
          <w:lang w:val="sk-SK" w:eastAsia="sk-SK" w:bidi="sk-SK"/>
        </w:rPr>
        <w:tab/>
      </w:r>
    </w:p>
    <w:p w:rsidR="003B12C5" w:rsidRPr="003B12C5" w:rsidRDefault="003B12C5" w:rsidP="009D7D0E">
      <w:pPr>
        <w:keepNext/>
        <w:numPr>
          <w:ilvl w:val="1"/>
          <w:numId w:val="5"/>
        </w:numPr>
        <w:tabs>
          <w:tab w:val="clear" w:pos="1767"/>
          <w:tab w:val="num" w:pos="840"/>
        </w:tabs>
        <w:spacing w:before="100" w:beforeAutospacing="1" w:after="100" w:afterAutospacing="1" w:line="240" w:lineRule="auto"/>
        <w:ind w:left="851" w:hanging="851"/>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Vhodnosť schémy</w:t>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Ak schéma nie je oprávnená v rámci operačného programu, vysvetlite, prečo je regionálna pomoc vhodným nástrojom na dosiahnutie spoločného cieľa spravodlivého prístupu alebo súdržnosti</w:t>
      </w:r>
      <w:r w:rsidRPr="003B12C5">
        <w:rPr>
          <w:rFonts w:ascii="Times New Roman" w:hAnsi="Times New Roman"/>
          <w:sz w:val="24"/>
          <w:szCs w:val="20"/>
          <w:vertAlign w:val="superscript"/>
          <w:lang w:val="sk-SK" w:eastAsia="sk-SK" w:bidi="sk-SK"/>
        </w:rPr>
        <w:footnoteReference w:id="20"/>
      </w:r>
      <w:r w:rsidRPr="003B12C5">
        <w:rPr>
          <w:rFonts w:ascii="Times New Roman" w:hAnsi="Times New Roman"/>
          <w:sz w:val="24"/>
          <w:szCs w:val="20"/>
          <w:lang w:val="sk-SK" w:eastAsia="sk-SK" w:bidi="sk-SK"/>
        </w:rPr>
        <w:t xml:space="preserve"> (bod 52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Ak ide o schému odvetvovej pomoci, ktorá nie je oprávnená na spolufinancovanie zo štrukturálnych fondov, preukážte výhody takéhoto nástroja v porovnaní s viacodvetvovou schémou alebo inými možnosťami politiky (bod 53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Poskytne sa individuálna pomoc v rámci notifikovanej schémy:</w:t>
      </w:r>
    </w:p>
    <w:p w:rsidR="003B12C5" w:rsidRPr="003B12C5" w:rsidRDefault="003B12C5" w:rsidP="003B12C5">
      <w:pPr>
        <w:tabs>
          <w:tab w:val="left" w:pos="720"/>
          <w:tab w:val="left" w:pos="1440"/>
          <w:tab w:val="left" w:pos="1797"/>
        </w:tabs>
        <w:spacing w:before="100" w:beforeAutospacing="1" w:after="100" w:afterAutospacing="1" w:line="240" w:lineRule="auto"/>
        <w:ind w:left="216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automaticky, ak sú splnené podmienky schémy alebo</w:t>
      </w:r>
    </w:p>
    <w:p w:rsidR="003B12C5" w:rsidRPr="003B12C5" w:rsidRDefault="003B12C5" w:rsidP="003B12C5">
      <w:pPr>
        <w:tabs>
          <w:tab w:val="left" w:pos="720"/>
          <w:tab w:val="left" w:pos="1440"/>
          <w:tab w:val="left" w:pos="1797"/>
        </w:tabs>
        <w:spacing w:before="120" w:after="120" w:line="240" w:lineRule="auto"/>
        <w:ind w:left="2160"/>
        <w:jc w:val="both"/>
        <w:rPr>
          <w:rFonts w:ascii="Times New Roman" w:eastAsia="Times New Roman" w:hAnsi="Times New Roman" w:cs="Arial Unicode MS"/>
          <w:sz w:val="24"/>
          <w:szCs w:val="24"/>
          <w:lang w:val="sk-SK" w:eastAsia="sk-SK" w:bidi="sk-SK"/>
        </w:rPr>
      </w:pPr>
      <w:r w:rsidRPr="003B12C5">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3B12C5">
        <w:rPr>
          <w:rFonts w:ascii="Times New Roman" w:eastAsia="Times New Roman" w:hAnsi="Times New Roman" w:cs="Arial Unicode MS"/>
          <w:sz w:val="24"/>
          <w:szCs w:val="24"/>
          <w:lang w:val="sk-SK" w:eastAsia="sk-SK" w:bidi="sk-SK"/>
        </w:rPr>
        <w:instrText xml:space="preserve"> FORMCHECKBOX </w:instrText>
      </w:r>
      <w:r w:rsidRPr="003B12C5">
        <w:rPr>
          <w:rFonts w:ascii="Times New Roman" w:eastAsia="Times New Roman" w:hAnsi="Times New Roman" w:cs="Arial Unicode MS"/>
          <w:sz w:val="24"/>
          <w:szCs w:val="24"/>
          <w:lang w:val="sk-SK" w:eastAsia="sk-SK" w:bidi="sk-SK"/>
        </w:rPr>
      </w:r>
      <w:r w:rsidRPr="003B12C5">
        <w:rPr>
          <w:rFonts w:ascii="Times New Roman" w:eastAsia="Times New Roman" w:hAnsi="Times New Roman" w:cs="Arial Unicode MS"/>
          <w:sz w:val="24"/>
          <w:szCs w:val="24"/>
          <w:lang w:val="sk-SK" w:eastAsia="sk-SK" w:bidi="sk-SK"/>
        </w:rPr>
        <w:fldChar w:fldCharType="separate"/>
      </w:r>
      <w:r w:rsidRPr="003B12C5">
        <w:rPr>
          <w:rFonts w:ascii="Times New Roman" w:eastAsia="Times New Roman" w:hAnsi="Times New Roman" w:cs="Arial Unicode MS"/>
          <w:sz w:val="24"/>
          <w:szCs w:val="24"/>
          <w:lang w:val="sk-SK" w:eastAsia="sk-SK" w:bidi="sk-SK"/>
        </w:rPr>
        <w:fldChar w:fldCharType="end"/>
      </w:r>
      <w:r w:rsidRPr="003B12C5">
        <w:rPr>
          <w:rFonts w:ascii="Times New Roman" w:eastAsia="Times New Roman" w:hAnsi="Times New Roman" w:cs="Arial Unicode MS"/>
          <w:sz w:val="24"/>
          <w:szCs w:val="24"/>
          <w:lang w:val="sk-SK" w:eastAsia="sk-SK" w:bidi="sk-SK"/>
        </w:rPr>
        <w:tab/>
        <w:t>na základe vlastného uváženia na základe rozhodnutia orgánov poskytujúcich pomoc?</w:t>
      </w:r>
    </w:p>
    <w:p w:rsidR="003B12C5" w:rsidRPr="003B12C5" w:rsidRDefault="003B12C5" w:rsidP="009D7D0E">
      <w:pPr>
        <w:numPr>
          <w:ilvl w:val="0"/>
          <w:numId w:val="10"/>
        </w:numPr>
        <w:spacing w:after="240" w:line="240" w:lineRule="auto"/>
        <w:jc w:val="both"/>
        <w:rPr>
          <w:rFonts w:ascii="Times New Roman" w:eastAsia="Times New Roman" w:hAnsi="Times New Roman"/>
          <w:sz w:val="24"/>
          <w:szCs w:val="20"/>
          <w:lang w:val="sk-SK"/>
        </w:rPr>
      </w:pPr>
      <w:r w:rsidRPr="003B12C5">
        <w:rPr>
          <w:rFonts w:ascii="Times New Roman" w:eastAsia="Times New Roman" w:hAnsi="Times New Roman"/>
          <w:sz w:val="24"/>
          <w:szCs w:val="20"/>
          <w:lang w:val="sk-SK"/>
        </w:rPr>
        <w:t>Uveďte odkaz na príslušné ustanovenie právneho základu:</w:t>
      </w:r>
    </w:p>
    <w:p w:rsidR="003B12C5" w:rsidRPr="003B12C5" w:rsidRDefault="003B12C5" w:rsidP="003B12C5">
      <w:pPr>
        <w:tabs>
          <w:tab w:val="left" w:leader="dot" w:pos="9072"/>
        </w:tabs>
        <w:spacing w:before="120" w:after="0" w:line="240" w:lineRule="auto"/>
        <w:ind w:left="1418"/>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0"/>
          <w:numId w:val="9"/>
        </w:numPr>
        <w:spacing w:before="120" w:after="240" w:line="240" w:lineRule="auto"/>
        <w:jc w:val="both"/>
        <w:rPr>
          <w:rFonts w:ascii="Times New Roman" w:eastAsia="Times New Roman" w:hAnsi="Times New Roman"/>
          <w:sz w:val="24"/>
          <w:szCs w:val="20"/>
          <w:lang w:val="sk-SK"/>
        </w:rPr>
      </w:pPr>
      <w:r w:rsidRPr="003B12C5">
        <w:rPr>
          <w:rFonts w:ascii="Times New Roman" w:eastAsia="Times New Roman" w:hAnsi="Times New Roman"/>
          <w:sz w:val="24"/>
          <w:szCs w:val="20"/>
          <w:lang w:val="sk-SK"/>
        </w:rPr>
        <w:t>Ak sa pomoc poskytuje na základe vlastného uváženia orgánov poskytujúcich pomoc, uveďte stručný opis použitých kritérií a pripojte kópiu vnútorných správnych predpisov orgánu poskytujúceho pomoc, ktoré sa uplatňujú na poskytnutie pomoci:</w:t>
      </w:r>
    </w:p>
    <w:p w:rsidR="003B12C5" w:rsidRPr="003B12C5" w:rsidRDefault="003B12C5" w:rsidP="003B12C5">
      <w:pPr>
        <w:tabs>
          <w:tab w:val="left" w:leader="dot" w:pos="9072"/>
        </w:tabs>
        <w:spacing w:before="120" w:after="120" w:line="240" w:lineRule="auto"/>
        <w:ind w:left="1418"/>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Ak sa pomoc v rámci schémy poskytne vo formách, ktoré zabezpečujú priamu finančnú výhodu</w:t>
      </w:r>
      <w:r w:rsidRPr="003B12C5">
        <w:rPr>
          <w:rFonts w:ascii="Times New Roman" w:hAnsi="Times New Roman"/>
          <w:sz w:val="24"/>
          <w:szCs w:val="20"/>
          <w:vertAlign w:val="superscript"/>
          <w:lang w:val="sk-SK" w:eastAsia="sk-SK" w:bidi="sk-SK"/>
        </w:rPr>
        <w:footnoteReference w:id="21"/>
      </w:r>
      <w:r w:rsidRPr="003B12C5">
        <w:rPr>
          <w:rFonts w:ascii="Times New Roman" w:hAnsi="Times New Roman"/>
          <w:sz w:val="24"/>
          <w:szCs w:val="20"/>
          <w:lang w:val="sk-SK" w:eastAsia="sk-SK" w:bidi="sk-SK"/>
        </w:rPr>
        <w:t>, preukážte, prečo iné možné menej rušivé formy pomoci, ako sú vratné preddavky, alebo formy pomoci, ktoré sú založené na dlhových alebo kapitálových nástrojoch</w:t>
      </w:r>
      <w:r w:rsidRPr="003B12C5">
        <w:rPr>
          <w:rFonts w:ascii="Times New Roman" w:hAnsi="Times New Roman"/>
          <w:sz w:val="24"/>
          <w:szCs w:val="20"/>
          <w:vertAlign w:val="superscript"/>
          <w:lang w:val="sk-SK" w:eastAsia="sk-SK" w:bidi="sk-SK"/>
        </w:rPr>
        <w:footnoteReference w:id="22"/>
      </w:r>
      <w:r w:rsidRPr="003B12C5">
        <w:rPr>
          <w:rFonts w:ascii="Times New Roman" w:hAnsi="Times New Roman"/>
          <w:sz w:val="24"/>
          <w:szCs w:val="20"/>
          <w:lang w:val="sk-SK" w:eastAsia="sk-SK" w:bidi="sk-SK"/>
        </w:rPr>
        <w:t>, nie sú vhodné (bod 57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9D7D0E">
      <w:pPr>
        <w:numPr>
          <w:ilvl w:val="1"/>
          <w:numId w:val="5"/>
        </w:numPr>
        <w:tabs>
          <w:tab w:val="clear" w:pos="1767"/>
          <w:tab w:val="num" w:pos="840"/>
        </w:tabs>
        <w:spacing w:before="120" w:after="240" w:line="240" w:lineRule="auto"/>
        <w:ind w:left="851" w:hanging="851"/>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Stimulačný účinok a proporcionalita schémy</w:t>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každá žiadosť o poskytnutie pomoci sa musí predložiť predtým, ako sa začnú práce týkajúce sa príslušného investičného projektu (bod 64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cs="EUAlbertina"/>
          <w:color w:val="000000"/>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žiadatelia o pomoc v rámci notifikovanej schémy budú musieť predložiť štandardný formulár žiadosti o pomoc vydaný orgánom poskytujúcim pomoc, v ktorom musia na základe kontrafaktuálneho scenára vysvetliť, čo by sa stalo, ak by pomoc nedostali, a uviesť, ktorý zo scenárov (scenár 1 – investičné rozhodnutie alebo scenár 2 – rozhodnutie o umiestnení) uplatnili (bod 66 a bod 61 usmernení o regionálnej štátnej pomoci).</w:t>
      </w:r>
      <w:r w:rsidRPr="003B12C5">
        <w:rPr>
          <w:rFonts w:ascii="Times New Roman" w:hAnsi="Times New Roman"/>
          <w:color w:val="000000"/>
          <w:sz w:val="24"/>
          <w:szCs w:val="20"/>
          <w:lang w:val="sk-SK" w:eastAsia="sk-SK" w:bidi="sk-SK"/>
        </w:rPr>
        <w:t xml:space="preserve"> Ak sa tento formulár žiadosti o pomoc líši od príkladu uvedeného v prílohe V k usmerneniam o regionálnej štátnej pomoci, poskytnite kópiu tohto formulára.</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veľké podniky, ktoré žiadajú o pomoc v rámci notifikovanej schémy, musia predložiť listinný dôkaz na podporu opísaného kontrafaktuálneho scenára. (bod 67 usmernení o regionálnej štátnej pomoci). Vysvetlite tiež, aký druh dokladov sa bude vyžadovať.</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 xml:space="preserve">Uveďte odkaz na príslušné ustanovenia právneho základu, v ktorých sa stanovuje, že pri posudzovaní žiadostí o individuálnu pomoc musí orgán poskytujúci pomoc vykonať kontrolu vierohodnosti uvedenej kontrafaktuálnemu scenáru a overiť, že regionálna pomoc má požadovaný stimulačný účinok zodpovedajúci </w:t>
      </w:r>
      <w:r w:rsidRPr="003B12C5">
        <w:rPr>
          <w:rFonts w:ascii="Times New Roman" w:hAnsi="Times New Roman"/>
          <w:i/>
          <w:sz w:val="24"/>
          <w:szCs w:val="20"/>
          <w:lang w:val="sk-SK" w:eastAsia="sk-SK" w:bidi="sk-SK"/>
        </w:rPr>
        <w:t>scenáru 1</w:t>
      </w:r>
      <w:r w:rsidRPr="003B12C5">
        <w:rPr>
          <w:rFonts w:ascii="Times New Roman" w:hAnsi="Times New Roman"/>
          <w:sz w:val="24"/>
          <w:szCs w:val="20"/>
          <w:lang w:val="sk-SK" w:eastAsia="sk-SK" w:bidi="sk-SK"/>
        </w:rPr>
        <w:t xml:space="preserve"> alebo </w:t>
      </w:r>
      <w:r w:rsidRPr="003B12C5">
        <w:rPr>
          <w:rFonts w:ascii="Times New Roman" w:hAnsi="Times New Roman"/>
          <w:i/>
          <w:sz w:val="24"/>
          <w:szCs w:val="20"/>
          <w:lang w:val="sk-SK" w:eastAsia="sk-SK" w:bidi="sk-SK"/>
        </w:rPr>
        <w:t>scenáru 2</w:t>
      </w:r>
      <w:r w:rsidRPr="003B12C5">
        <w:rPr>
          <w:rFonts w:ascii="Times New Roman" w:hAnsi="Times New Roman"/>
          <w:sz w:val="24"/>
          <w:szCs w:val="20"/>
          <w:vertAlign w:val="superscript"/>
          <w:lang w:val="sk-SK" w:eastAsia="sk-SK" w:bidi="sk-SK"/>
        </w:rPr>
        <w:footnoteReference w:id="23"/>
      </w:r>
      <w:r w:rsidRPr="003B12C5">
        <w:rPr>
          <w:rFonts w:ascii="Times New Roman" w:hAnsi="Times New Roman"/>
          <w:sz w:val="24"/>
          <w:szCs w:val="20"/>
          <w:lang w:val="sk-SK" w:eastAsia="sk-SK" w:bidi="sk-SK"/>
        </w:rPr>
        <w:t xml:space="preserve"> (bod 68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individuálna pomoc, ktorá sa poskytne veľkým podnikom v rámci notifikovanej schémy, bude obmedzená na čisté dodatočné náklady na realizáciu investície v dotknutej oblasti v porovnaní s kontrafaktuálnym scenárom v prípade neposkytnutia pomoci, s použitím metódy opísanej bodoch 79 a 80 usmernení o regionálnej štátnej pomoci (bod 88 usmernení o regionálnej štátnej pomoci).</w:t>
      </w:r>
    </w:p>
    <w:p w:rsidR="003B12C5" w:rsidRPr="003B12C5" w:rsidRDefault="003B12C5" w:rsidP="003B12C5">
      <w:pPr>
        <w:tabs>
          <w:tab w:val="left" w:leader="dot" w:pos="9072"/>
        </w:tabs>
        <w:spacing w:before="120" w:after="120" w:line="240" w:lineRule="auto"/>
        <w:ind w:left="2552"/>
        <w:jc w:val="both"/>
        <w:rPr>
          <w:rFonts w:ascii="Times New Roman" w:hAnsi="Times New Roman"/>
          <w:sz w:val="24"/>
          <w:lang w:val="sk-SK"/>
        </w:rPr>
      </w:pPr>
      <w:r w:rsidRPr="003B12C5">
        <w:rPr>
          <w:rFonts w:ascii="Times New Roman" w:hAnsi="Times New Roman"/>
          <w:sz w:val="24"/>
          <w:lang w:val="sk-SK"/>
        </w:rPr>
        <w:tab/>
      </w:r>
    </w:p>
    <w:p w:rsidR="003B12C5" w:rsidRPr="003B12C5" w:rsidRDefault="003B12C5" w:rsidP="009D7D0E">
      <w:pPr>
        <w:numPr>
          <w:ilvl w:val="1"/>
          <w:numId w:val="5"/>
        </w:numPr>
        <w:tabs>
          <w:tab w:val="clear" w:pos="1767"/>
          <w:tab w:val="num" w:pos="840"/>
        </w:tabs>
        <w:spacing w:before="100" w:beforeAutospacing="1" w:after="100" w:afterAutospacing="1" w:line="240" w:lineRule="auto"/>
        <w:ind w:left="851" w:hanging="851"/>
        <w:contextualSpacing/>
        <w:jc w:val="both"/>
        <w:rPr>
          <w:rFonts w:ascii="Times New Roman" w:hAnsi="Times New Roman"/>
          <w:b/>
          <w:sz w:val="24"/>
          <w:szCs w:val="20"/>
          <w:lang w:val="sk-SK" w:eastAsia="sk-SK" w:bidi="sk-SK"/>
        </w:rPr>
      </w:pPr>
      <w:r w:rsidRPr="003B12C5">
        <w:rPr>
          <w:rFonts w:ascii="Times New Roman" w:hAnsi="Times New Roman"/>
          <w:b/>
          <w:sz w:val="24"/>
          <w:szCs w:val="20"/>
          <w:lang w:val="sk-SK" w:eastAsia="sk-SK" w:bidi="sk-SK"/>
        </w:rPr>
        <w:t>Zabránenie neprípustným negatívnym účinkom na hospodársku súťaž a obchod</w:t>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Vysvetlite, ako budú narušenia hospodárskej súťaže a obchodu spôsobené notifikovanou schémou pomoci obmedzené na minimum (bod 125 usmernení o regionálnej štátnej pomoci)</w:t>
      </w:r>
      <w:r w:rsidRPr="003B12C5">
        <w:rPr>
          <w:rFonts w:ascii="Times New Roman" w:hAnsi="Times New Roman"/>
          <w:sz w:val="24"/>
          <w:szCs w:val="20"/>
          <w:vertAlign w:val="superscript"/>
          <w:lang w:val="sk-SK" w:eastAsia="sk-SK" w:bidi="sk-SK"/>
        </w:rPr>
        <w:footnoteReference w:id="24"/>
      </w:r>
      <w:r w:rsidRPr="003B12C5">
        <w:rPr>
          <w:rFonts w:ascii="Times New Roman" w:hAnsi="Times New Roman"/>
          <w:sz w:val="24"/>
          <w:szCs w:val="20"/>
          <w:lang w:val="sk-SK" w:eastAsia="sk-SK" w:bidi="sk-SK"/>
        </w:rPr>
        <w:t>:</w:t>
      </w:r>
    </w:p>
    <w:p w:rsidR="003B12C5" w:rsidRPr="003B12C5" w:rsidRDefault="003B12C5" w:rsidP="003B12C5">
      <w:pPr>
        <w:tabs>
          <w:tab w:val="left" w:leader="dot" w:pos="9072"/>
        </w:tabs>
        <w:spacing w:after="0" w:line="240" w:lineRule="auto"/>
        <w:ind w:left="2487"/>
        <w:contextualSpacing/>
        <w:rPr>
          <w:rFonts w:ascii="Times New Roman" w:hAnsi="Times New Roman"/>
          <w:sz w:val="24"/>
          <w:szCs w:val="20"/>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ak sa pomoc poskytuje v rámci schémy pre individuálne projekty, orgán poskytujúci pomoc musí overiť a potvrdiť, že bez pomoci by investícia nebola umiestnená v regióne s vyššou alebo rovnakou intenzitou regionálnej pomoci ako cieľová oblasť (bod 126 usmernení o regionálnej štátnej pomoci).</w:t>
      </w:r>
    </w:p>
    <w:p w:rsidR="003B12C5" w:rsidRPr="003B12C5" w:rsidRDefault="003B12C5" w:rsidP="003B12C5">
      <w:pPr>
        <w:tabs>
          <w:tab w:val="left" w:leader="dot" w:pos="9072"/>
        </w:tabs>
        <w:spacing w:after="0" w:line="240" w:lineRule="auto"/>
        <w:ind w:left="2487"/>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5"/>
        </w:numPr>
        <w:spacing w:before="120" w:after="0" w:line="240" w:lineRule="auto"/>
        <w:contextualSpacing/>
        <w:jc w:val="both"/>
        <w:rPr>
          <w:rFonts w:ascii="Times New Roman" w:hAnsi="Times New Roman"/>
          <w:sz w:val="24"/>
          <w:szCs w:val="20"/>
          <w:lang w:val="sk-SK" w:eastAsia="sk-SK" w:bidi="sk-SK"/>
        </w:rPr>
      </w:pPr>
      <w:r w:rsidRPr="003B12C5">
        <w:rPr>
          <w:rFonts w:ascii="Times New Roman" w:hAnsi="Times New Roman"/>
          <w:sz w:val="24"/>
          <w:szCs w:val="20"/>
          <w:lang w:val="sk-SK" w:eastAsia="sk-SK" w:bidi="sk-SK"/>
        </w:rPr>
        <w:t>Uveďte odkaz na príslušné ustanovenia právneho základu, v ktorých sa stanovuje, že ak sa pomoc poskytuje v rámci schémy pre individuálne projekty, orgán poskytujúci pomoc musí oznámiť Komisii individuálnu pomoc poskytovanú príjemcom, ktorí ukončili rovnakú alebo podobnú činnosť v inej oblasti v rámci EHP dva roky pred dátumom predloženia žiadosti o pomoc alebo ktorí v okamihu predloženia žiadosti o pomoc plánujú ukončiť takúto činnosť v priebehu dvoch rokov od ukončenia investície, ktorá sa má financovať (bod 122 usmernení o regionálnej štátnej pomoci).</w:t>
      </w:r>
    </w:p>
    <w:p w:rsidR="003B12C5" w:rsidRPr="003B12C5" w:rsidRDefault="003B12C5" w:rsidP="003B12C5">
      <w:pPr>
        <w:tabs>
          <w:tab w:val="left" w:leader="dot" w:pos="9072"/>
        </w:tabs>
        <w:spacing w:after="0" w:line="240" w:lineRule="auto"/>
        <w:ind w:left="2487"/>
        <w:contextualSpacing/>
        <w:rPr>
          <w:rFonts w:ascii="Times New Roman" w:hAnsi="Times New Roman"/>
          <w:sz w:val="24"/>
          <w:szCs w:val="20"/>
          <w:lang w:val="sk-SK" w:eastAsia="sk-SK" w:bidi="sk-SK"/>
        </w:rPr>
      </w:pPr>
      <w:r w:rsidRPr="003B12C5">
        <w:rPr>
          <w:rFonts w:ascii="Times New Roman" w:hAnsi="Times New Roman"/>
          <w:sz w:val="24"/>
          <w:szCs w:val="20"/>
          <w:lang w:val="sk-SK" w:eastAsia="sk-SK" w:bidi="sk-SK"/>
        </w:rPr>
        <w:tab/>
      </w:r>
    </w:p>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szCs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3B12C5" w:rsidRPr="003B12C5" w:rsidTr="00475775">
        <w:tc>
          <w:tcPr>
            <w:tcW w:w="9214" w:type="dxa"/>
            <w:tcBorders>
              <w:top w:val="single" w:sz="4" w:space="0" w:color="auto"/>
              <w:bottom w:val="single" w:sz="4" w:space="0" w:color="auto"/>
            </w:tcBorders>
            <w:shd w:val="pct15" w:color="auto" w:fill="FFFFFF"/>
          </w:tcPr>
          <w:p w:rsidR="003B12C5" w:rsidRPr="003B12C5" w:rsidRDefault="003B12C5" w:rsidP="003B12C5">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3B12C5">
              <w:rPr>
                <w:rFonts w:ascii="Times New Roman" w:eastAsia="Times New Roman" w:hAnsi="Times New Roman"/>
                <w:bCs/>
                <w:iCs/>
                <w:sz w:val="24"/>
                <w:lang w:val="sk-SK"/>
              </w:rPr>
              <w:br w:type="page"/>
            </w:r>
            <w:r w:rsidRPr="003B12C5">
              <w:rPr>
                <w:rFonts w:ascii="Times New Roman" w:eastAsia="Times New Roman" w:hAnsi="Times New Roman"/>
                <w:bCs/>
                <w:iCs/>
                <w:sz w:val="24"/>
                <w:lang w:val="sk-SK"/>
              </w:rPr>
              <w:br w:type="page"/>
              <w:t>Ďalšie informácie</w:t>
            </w:r>
          </w:p>
        </w:tc>
      </w:tr>
    </w:tbl>
    <w:p w:rsidR="003B12C5" w:rsidRPr="003B12C5" w:rsidRDefault="003B12C5" w:rsidP="003B12C5">
      <w:pPr>
        <w:numPr>
          <w:ilvl w:val="2"/>
          <w:numId w:val="0"/>
        </w:numPr>
        <w:tabs>
          <w:tab w:val="num" w:pos="850"/>
        </w:tabs>
        <w:spacing w:before="120" w:after="120" w:line="240" w:lineRule="auto"/>
        <w:ind w:left="850" w:hanging="850"/>
        <w:jc w:val="both"/>
        <w:rPr>
          <w:rFonts w:ascii="Times New Roman" w:hAnsi="Times New Roman"/>
          <w:sz w:val="24"/>
          <w:szCs w:val="24"/>
          <w:lang w:val="sk-SK"/>
        </w:rPr>
      </w:pPr>
    </w:p>
    <w:p w:rsidR="003B12C5" w:rsidRPr="003B12C5" w:rsidRDefault="003B12C5" w:rsidP="003B12C5">
      <w:pPr>
        <w:numPr>
          <w:ilvl w:val="2"/>
          <w:numId w:val="0"/>
        </w:numPr>
        <w:tabs>
          <w:tab w:val="num" w:pos="850"/>
        </w:tabs>
        <w:spacing w:before="120" w:after="120" w:line="240" w:lineRule="auto"/>
        <w:ind w:left="1134"/>
        <w:jc w:val="both"/>
        <w:rPr>
          <w:rFonts w:ascii="Times New Roman" w:hAnsi="Times New Roman"/>
          <w:sz w:val="24"/>
          <w:szCs w:val="24"/>
          <w:lang w:val="sk-SK"/>
        </w:rPr>
      </w:pPr>
      <w:r w:rsidRPr="003B12C5">
        <w:rPr>
          <w:rFonts w:ascii="Times New Roman" w:hAnsi="Times New Roman"/>
          <w:sz w:val="24"/>
          <w:lang w:val="sk-SK"/>
        </w:rPr>
        <w:t>Uveďte akékoľvek ďalšie informácie, ktoré sú dôležité na posúdenie notifikovaného opatrenia pomoci podľa usmernení o regionálnej štátnej pomoci:</w:t>
      </w:r>
    </w:p>
    <w:p w:rsidR="003B12C5" w:rsidRPr="003B12C5" w:rsidRDefault="003B12C5" w:rsidP="003B12C5">
      <w:pPr>
        <w:tabs>
          <w:tab w:val="left" w:leader="dot" w:pos="9072"/>
        </w:tabs>
        <w:spacing w:before="120" w:after="120" w:line="240" w:lineRule="auto"/>
        <w:ind w:left="1134"/>
        <w:jc w:val="both"/>
        <w:rPr>
          <w:rFonts w:ascii="Times New Roman" w:hAnsi="Times New Roman"/>
          <w:sz w:val="24"/>
          <w:lang w:val="sk-SK"/>
        </w:rPr>
      </w:pPr>
      <w:r w:rsidRPr="003B12C5">
        <w:rPr>
          <w:rFonts w:ascii="Times New Roman" w:hAnsi="Times New Roman"/>
          <w:sz w:val="24"/>
          <w:lang w:val="sk-SK"/>
        </w:rPr>
        <w:tab/>
      </w:r>
    </w:p>
    <w:p w:rsidR="00475775" w:rsidRPr="003B12C5" w:rsidRDefault="00475775" w:rsidP="003B12C5">
      <w:pPr>
        <w:spacing w:before="120" w:after="120" w:line="240" w:lineRule="auto"/>
        <w:jc w:val="both"/>
        <w:rPr>
          <w:rFonts w:ascii="Times New Roman" w:hAnsi="Times New Roman"/>
          <w:sz w:val="24"/>
          <w:lang w:val="sk-SK"/>
        </w:rPr>
      </w:pPr>
    </w:p>
    <w:sectPr w:rsidR="00475775" w:rsidRPr="003B12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2E" w:rsidRDefault="00FC6A2E" w:rsidP="003B12C5">
      <w:pPr>
        <w:spacing w:after="0" w:line="240" w:lineRule="auto"/>
      </w:pPr>
      <w:r>
        <w:separator/>
      </w:r>
    </w:p>
  </w:endnote>
  <w:endnote w:type="continuationSeparator" w:id="0">
    <w:p w:rsidR="00FC6A2E" w:rsidRDefault="00FC6A2E" w:rsidP="003B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C5" w:rsidRDefault="003B12C5">
    <w:pPr>
      <w:pStyle w:val="Pta"/>
      <w:jc w:val="center"/>
    </w:pPr>
    <w:r>
      <w:fldChar w:fldCharType="begin"/>
    </w:r>
    <w:r>
      <w:instrText xml:space="preserve"> PAGE   \* MERGEFORMAT </w:instrText>
    </w:r>
    <w:r>
      <w:fldChar w:fldCharType="separate"/>
    </w:r>
    <w:r w:rsidR="005C6BF1">
      <w:rPr>
        <w:noProof/>
      </w:rPr>
      <w:t>2</w:t>
    </w:r>
    <w:r>
      <w:rPr>
        <w:noProof/>
      </w:rPr>
      <w:fldChar w:fldCharType="end"/>
    </w:r>
  </w:p>
  <w:p w:rsidR="003B12C5" w:rsidRDefault="003B12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2E" w:rsidRDefault="00FC6A2E" w:rsidP="003B12C5">
      <w:pPr>
        <w:spacing w:after="0" w:line="240" w:lineRule="auto"/>
      </w:pPr>
      <w:r>
        <w:separator/>
      </w:r>
    </w:p>
  </w:footnote>
  <w:footnote w:type="continuationSeparator" w:id="0">
    <w:p w:rsidR="00FC6A2E" w:rsidRDefault="00FC6A2E" w:rsidP="003B12C5">
      <w:pPr>
        <w:spacing w:after="0" w:line="240" w:lineRule="auto"/>
      </w:pPr>
      <w:r>
        <w:continuationSeparator/>
      </w:r>
    </w:p>
  </w:footnote>
  <w:footnote w:id="1">
    <w:p w:rsidR="003B12C5" w:rsidRPr="00333E65" w:rsidRDefault="003B12C5" w:rsidP="00333E65">
      <w:pPr>
        <w:pStyle w:val="Textpoznmkypodiarou"/>
        <w:spacing w:after="0" w:line="240" w:lineRule="auto"/>
        <w:ind w:left="720" w:hanging="720"/>
        <w:jc w:val="both"/>
        <w:rPr>
          <w:sz w:val="20"/>
          <w:lang w:val="pl-PL"/>
        </w:rPr>
      </w:pPr>
      <w:r w:rsidRPr="00333E65">
        <w:rPr>
          <w:rStyle w:val="Odkaznapoznmkupodiarou"/>
          <w:sz w:val="20"/>
        </w:rPr>
        <w:footnoteRef/>
      </w:r>
      <w:r w:rsidRPr="00333E65">
        <w:rPr>
          <w:sz w:val="20"/>
          <w:lang w:val="pl-PL"/>
        </w:rPr>
        <w:t xml:space="preserve"> </w:t>
      </w:r>
      <w:r w:rsidRPr="00333E65">
        <w:rPr>
          <w:sz w:val="20"/>
          <w:lang w:val="pl-PL"/>
        </w:rPr>
        <w:tab/>
        <w:t>Usmernenia o regionálnej štátnej pomoci na roky 2014 – 2020 (Ú. v. EÚ C 209, 23.7.2013, s. 1).</w:t>
      </w:r>
    </w:p>
  </w:footnote>
  <w:footnote w:id="2">
    <w:p w:rsidR="003B12C5" w:rsidRPr="00333E65" w:rsidRDefault="003B12C5" w:rsidP="00333E65">
      <w:pPr>
        <w:pStyle w:val="Textpoznmkypodiarou"/>
        <w:spacing w:after="0" w:line="240" w:lineRule="auto"/>
        <w:ind w:left="720" w:hanging="720"/>
        <w:jc w:val="both"/>
        <w:rPr>
          <w:sz w:val="20"/>
          <w:lang w:val="pl-PL"/>
        </w:rPr>
      </w:pPr>
      <w:r w:rsidRPr="00333E65">
        <w:rPr>
          <w:rStyle w:val="Odkaznapoznmkupodiarou"/>
          <w:sz w:val="20"/>
        </w:rPr>
        <w:footnoteRef/>
      </w:r>
      <w:r w:rsidRPr="00333E65">
        <w:rPr>
          <w:sz w:val="20"/>
          <w:lang w:val="pl-PL"/>
        </w:rPr>
        <w:t xml:space="preserve"> </w:t>
      </w:r>
      <w:r w:rsidRPr="00333E65">
        <w:rPr>
          <w:sz w:val="20"/>
          <w:lang w:val="pl-PL"/>
        </w:rPr>
        <w:tab/>
        <w:t>Nariadenie Komisie (EÚ) č. 651/2014 zo 17. júna 2014 o vyhlásení určitých kategórií pomoci za zlučiteľné s vnútorným trhom podľa článkov 107 a 108 zmluvy (Ú. v. EÚ L 187, 26.6.2014).</w:t>
      </w:r>
    </w:p>
  </w:footnote>
  <w:footnote w:id="3">
    <w:p w:rsidR="003B12C5" w:rsidRPr="00333E65" w:rsidRDefault="003B12C5" w:rsidP="00333E65">
      <w:pPr>
        <w:pStyle w:val="Textpoznmkypodiarou"/>
        <w:spacing w:after="0" w:line="240" w:lineRule="auto"/>
        <w:ind w:left="720" w:hanging="720"/>
        <w:jc w:val="both"/>
        <w:rPr>
          <w:sz w:val="20"/>
          <w:lang w:val="pl-PL"/>
        </w:rPr>
      </w:pPr>
      <w:r w:rsidRPr="00333E65">
        <w:rPr>
          <w:rStyle w:val="Odkaznapoznmkupodiarou"/>
          <w:sz w:val="20"/>
        </w:rPr>
        <w:footnoteRef/>
      </w:r>
      <w:r w:rsidRPr="00333E65">
        <w:rPr>
          <w:sz w:val="20"/>
          <w:lang w:val="pl-PL"/>
        </w:rPr>
        <w:t xml:space="preserve"> </w:t>
      </w:r>
      <w:r w:rsidRPr="00333E65">
        <w:rPr>
          <w:sz w:val="20"/>
          <w:lang w:val="pl-PL"/>
        </w:rPr>
        <w:tab/>
        <w:t xml:space="preserve">Nariadenie Komisie (EÚ) č. 1407/2013 z 18. decembra 2013 o uplatňovaní článkov 107 a 108 Zmluvy o fungovaní Európskej únie na pomoc </w:t>
      </w:r>
      <w:r w:rsidRPr="00333E65">
        <w:rPr>
          <w:i/>
          <w:sz w:val="20"/>
          <w:lang w:val="pl-PL"/>
        </w:rPr>
        <w:t>de minimis</w:t>
      </w:r>
      <w:r w:rsidRPr="00333E65">
        <w:rPr>
          <w:sz w:val="20"/>
          <w:lang w:val="pl-PL"/>
        </w:rPr>
        <w:t xml:space="preserve"> (Ú. v. EÚ L 352, 24.12.2013, s. 1).</w:t>
      </w:r>
    </w:p>
  </w:footnote>
  <w:footnote w:id="4">
    <w:p w:rsidR="003B12C5" w:rsidRPr="003B12C5" w:rsidRDefault="003B12C5" w:rsidP="00333E65">
      <w:pPr>
        <w:pStyle w:val="Textpoznmkypodiarou"/>
        <w:spacing w:after="0" w:line="240" w:lineRule="auto"/>
        <w:ind w:left="720" w:hanging="720"/>
        <w:jc w:val="both"/>
        <w:rPr>
          <w:lang w:val="pl-PL"/>
        </w:rPr>
      </w:pPr>
      <w:r w:rsidRPr="00333E65">
        <w:rPr>
          <w:rStyle w:val="Odkaznapoznmkupodiarou"/>
          <w:sz w:val="20"/>
        </w:rPr>
        <w:footnoteRef/>
      </w:r>
      <w:r w:rsidRPr="00333E65">
        <w:rPr>
          <w:sz w:val="20"/>
          <w:lang w:val="pl-PL"/>
        </w:rPr>
        <w:t xml:space="preserve"> </w:t>
      </w:r>
      <w:r w:rsidRPr="00333E65">
        <w:rPr>
          <w:sz w:val="20"/>
          <w:lang w:val="pl-PL"/>
        </w:rPr>
        <w:tab/>
        <w:t>„Rovnaká alebo podobná činnosť“ je činnosť patriaca do tej istej triedy (štvormiestny číselný kód) štatistickej klasifikácie ekonomických činností NACE Rev. 2.</w:t>
      </w:r>
    </w:p>
  </w:footnote>
  <w:footnote w:id="5">
    <w:p w:rsidR="003B12C5" w:rsidRPr="00333E65" w:rsidRDefault="003B12C5" w:rsidP="00333E65">
      <w:pPr>
        <w:pStyle w:val="Textpoznmkypodiarou"/>
        <w:spacing w:after="0" w:line="240" w:lineRule="auto"/>
        <w:ind w:left="720" w:hanging="720"/>
        <w:jc w:val="both"/>
        <w:rPr>
          <w:color w:val="000000"/>
          <w:sz w:val="20"/>
          <w:szCs w:val="20"/>
          <w:lang w:val="pl-PL"/>
        </w:rPr>
      </w:pPr>
      <w:r w:rsidRPr="00DE66D5">
        <w:rPr>
          <w:rStyle w:val="Odkaznapoznmkupodiarou"/>
        </w:rPr>
        <w:footnoteRef/>
      </w:r>
      <w:r w:rsidRPr="003B12C5">
        <w:rPr>
          <w:lang w:val="pl-PL"/>
        </w:rPr>
        <w:t xml:space="preserve"> </w:t>
      </w:r>
      <w:r w:rsidRPr="003B12C5">
        <w:rPr>
          <w:lang w:val="pl-PL"/>
        </w:rPr>
        <w:tab/>
      </w:r>
      <w:r w:rsidRPr="00333E65">
        <w:rPr>
          <w:color w:val="000000"/>
          <w:sz w:val="20"/>
          <w:szCs w:val="20"/>
          <w:lang w:val="pl-PL"/>
        </w:rPr>
        <w:t>Ako sa vymedzuje</w:t>
      </w:r>
      <w:r w:rsidRPr="00333E65">
        <w:rPr>
          <w:sz w:val="20"/>
          <w:szCs w:val="20"/>
          <w:lang w:val="pl-PL"/>
        </w:rPr>
        <w:t xml:space="preserve"> v oznámení Komisie „Usmernenia o štátnej pomoci na záchranu a reštrukturalizáciu nefinančných podnikov“ (Ú. v. EÚ C 249, 31.7..2014</w:t>
      </w:r>
      <w:r w:rsidRPr="00333E65">
        <w:rPr>
          <w:color w:val="000000"/>
          <w:sz w:val="20"/>
          <w:szCs w:val="20"/>
          <w:lang w:val="pl-PL"/>
        </w:rPr>
        <w:t>, s. 1.)</w:t>
      </w:r>
    </w:p>
  </w:footnote>
  <w:footnote w:id="6">
    <w:p w:rsidR="003B12C5" w:rsidRPr="00333E65" w:rsidRDefault="003B12C5" w:rsidP="00333E65">
      <w:pPr>
        <w:pStyle w:val="Textpoznmkypodiarou"/>
        <w:spacing w:after="0" w:line="240" w:lineRule="auto"/>
        <w:ind w:left="720" w:hanging="720"/>
        <w:jc w:val="both"/>
        <w:rPr>
          <w:color w:val="000000"/>
          <w:sz w:val="20"/>
          <w:szCs w:val="20"/>
          <w:lang w:val="pl-PL"/>
        </w:rPr>
      </w:pPr>
      <w:r w:rsidRPr="00333E65">
        <w:rPr>
          <w:rStyle w:val="Odkaznapoznmkupodiarou"/>
          <w:color w:val="000000"/>
          <w:sz w:val="20"/>
          <w:szCs w:val="20"/>
        </w:rPr>
        <w:footnoteRef/>
      </w:r>
      <w:r w:rsidRPr="00333E65">
        <w:rPr>
          <w:color w:val="000000"/>
          <w:sz w:val="20"/>
          <w:szCs w:val="20"/>
          <w:lang w:val="pl-PL"/>
        </w:rPr>
        <w:t xml:space="preserve"> </w:t>
      </w:r>
      <w:r w:rsidRPr="00333E65">
        <w:rPr>
          <w:sz w:val="20"/>
          <w:szCs w:val="20"/>
          <w:lang w:val="pl-PL"/>
        </w:rPr>
        <w:tab/>
        <w:t>Ako sa vymedzuje v prílohe IV k Usmerneniam o regionálnej štátnej pomoci na roky 2014 – 2020.</w:t>
      </w:r>
    </w:p>
  </w:footnote>
  <w:footnote w:id="7">
    <w:p w:rsidR="003B12C5" w:rsidRPr="00333E65" w:rsidRDefault="003B12C5" w:rsidP="00333E65">
      <w:pPr>
        <w:pStyle w:val="Textpoznmkypodiarou"/>
        <w:spacing w:after="0" w:line="240" w:lineRule="auto"/>
        <w:ind w:left="720" w:hanging="720"/>
        <w:jc w:val="both"/>
        <w:rPr>
          <w:color w:val="000000"/>
          <w:sz w:val="20"/>
          <w:szCs w:val="20"/>
          <w:lang w:val="pl-PL"/>
        </w:rPr>
      </w:pPr>
      <w:r w:rsidRPr="00333E65">
        <w:rPr>
          <w:rStyle w:val="Odkaznapoznmkupodiarou"/>
          <w:color w:val="000000"/>
          <w:sz w:val="20"/>
          <w:szCs w:val="20"/>
        </w:rPr>
        <w:footnoteRef/>
      </w:r>
      <w:r w:rsidRPr="00333E65">
        <w:rPr>
          <w:color w:val="000000"/>
          <w:sz w:val="20"/>
          <w:szCs w:val="20"/>
          <w:lang w:val="pl-PL"/>
        </w:rPr>
        <w:t xml:space="preserve"> </w:t>
      </w:r>
      <w:r w:rsidRPr="00333E65">
        <w:rPr>
          <w:sz w:val="20"/>
          <w:szCs w:val="20"/>
          <w:lang w:val="pl-PL"/>
        </w:rPr>
        <w:tab/>
        <w:t>Ako sa vymedzuje v prílohe IV k Usmerneniam o regionálnej štátnej pomoci na roky 2014 – 2020.</w:t>
      </w:r>
    </w:p>
  </w:footnote>
  <w:footnote w:id="8">
    <w:p w:rsidR="003B12C5" w:rsidRPr="00333E65" w:rsidRDefault="003B12C5" w:rsidP="00333E65">
      <w:pPr>
        <w:pStyle w:val="Textpoznmkypodiarou"/>
        <w:spacing w:after="0" w:line="240" w:lineRule="auto"/>
        <w:ind w:left="720" w:hanging="720"/>
        <w:jc w:val="both"/>
        <w:rPr>
          <w:sz w:val="20"/>
          <w:szCs w:val="20"/>
          <w:lang w:val="pl-PL"/>
        </w:rPr>
      </w:pPr>
      <w:r w:rsidRPr="00333E65">
        <w:rPr>
          <w:rStyle w:val="Odkaznapoznmkupodiarou"/>
          <w:color w:val="000000"/>
          <w:sz w:val="20"/>
          <w:szCs w:val="20"/>
        </w:rPr>
        <w:footnoteRef/>
      </w:r>
      <w:r w:rsidRPr="00333E65">
        <w:rPr>
          <w:color w:val="000000"/>
          <w:sz w:val="20"/>
          <w:szCs w:val="20"/>
          <w:lang w:val="pl-PL"/>
        </w:rPr>
        <w:t xml:space="preserve"> </w:t>
      </w:r>
      <w:r w:rsidRPr="00333E65">
        <w:rPr>
          <w:sz w:val="20"/>
          <w:szCs w:val="20"/>
          <w:lang w:val="pl-PL"/>
        </w:rPr>
        <w:tab/>
        <w:t xml:space="preserve">Usmernenia o regionálnej štátnej pomoci sa uplatňujú na schémy pomoci, ktorými sa podporujú činnosti mimo rozsahu pôsobnosti článku 42 ZFEÚ, ale na ktoré sa vzťahuje nariadenie Európskeho parlamentu a Rady  (EÚ) č. 1305/2013 zo 17. decembra 2013 o podpore rozvoja vidieka prostredníctvom Európskeho poľnohospodárskeho fondu pre rozvoj vidieka (EPFRV) a o zrušení nariadenia Rady (ES) č. 1698/2005 </w:t>
      </w:r>
      <w:r w:rsidRPr="00333E65">
        <w:rPr>
          <w:color w:val="000000"/>
          <w:sz w:val="20"/>
          <w:szCs w:val="20"/>
          <w:lang w:val="pl-PL"/>
        </w:rPr>
        <w:t>(Ú. v. EÚ L 347, 20.12.2013, s. 487)</w:t>
      </w:r>
      <w:r w:rsidRPr="00333E65">
        <w:rPr>
          <w:sz w:val="20"/>
          <w:szCs w:val="20"/>
          <w:lang w:val="pl-PL"/>
        </w:rPr>
        <w:t xml:space="preserve"> a ktoré buď spolufinancuje Európsky poľnohospodársky fond pre rozvoj vidieka, alebo ktoré sa poskytujú ako dodatočné vnútroštátne financovanie k takýmto spolufinancovaným schémam, pokiaľ sa v pravidlách odvetvia nestanovuje inak.</w:t>
      </w:r>
    </w:p>
  </w:footnote>
  <w:footnote w:id="9">
    <w:p w:rsidR="003B12C5" w:rsidRPr="003B12C5" w:rsidRDefault="003B12C5" w:rsidP="00333E65">
      <w:pPr>
        <w:pStyle w:val="Textpoznmkypodiarou"/>
        <w:spacing w:after="0" w:line="240" w:lineRule="auto"/>
        <w:ind w:left="720" w:hanging="720"/>
        <w:jc w:val="both"/>
        <w:rPr>
          <w:lang w:val="pl-PL"/>
        </w:rPr>
      </w:pPr>
      <w:r w:rsidRPr="00333E65">
        <w:rPr>
          <w:rStyle w:val="Odkaznapoznmkupodiarou"/>
          <w:sz w:val="20"/>
          <w:szCs w:val="20"/>
        </w:rPr>
        <w:footnoteRef/>
      </w:r>
      <w:r w:rsidRPr="00333E65">
        <w:rPr>
          <w:sz w:val="20"/>
          <w:szCs w:val="20"/>
          <w:lang w:val="pl-PL"/>
        </w:rPr>
        <w:t xml:space="preserve"> </w:t>
      </w:r>
      <w:r w:rsidRPr="00333E65">
        <w:rPr>
          <w:sz w:val="20"/>
          <w:szCs w:val="20"/>
          <w:lang w:val="pl-PL"/>
        </w:rPr>
        <w:tab/>
        <w:t>Ako sa vymedzuje v poznámke pod čiarou č. 12 usmernení o regionálnej štátnej pomoci.</w:t>
      </w:r>
    </w:p>
  </w:footnote>
  <w:footnote w:id="10">
    <w:p w:rsidR="003B12C5" w:rsidRPr="00333E65" w:rsidRDefault="003B12C5" w:rsidP="00333E65">
      <w:pPr>
        <w:pStyle w:val="Textpoznmkypodiarou"/>
        <w:spacing w:after="0" w:line="240" w:lineRule="auto"/>
        <w:ind w:left="720" w:hanging="720"/>
        <w:jc w:val="both"/>
        <w:rPr>
          <w:sz w:val="20"/>
          <w:lang w:val="pl-PL"/>
        </w:rPr>
      </w:pPr>
      <w:r w:rsidRPr="00333E65">
        <w:rPr>
          <w:rStyle w:val="Odkaznapoznmkupodiarou"/>
          <w:sz w:val="20"/>
        </w:rPr>
        <w:footnoteRef/>
      </w:r>
      <w:r w:rsidRPr="00333E65">
        <w:rPr>
          <w:sz w:val="20"/>
          <w:lang w:val="pl-PL"/>
        </w:rPr>
        <w:t xml:space="preserve"> </w:t>
      </w:r>
      <w:r w:rsidRPr="00333E65">
        <w:rPr>
          <w:sz w:val="20"/>
          <w:lang w:val="pl-PL"/>
        </w:rPr>
        <w:tab/>
        <w:t>Oznámenie Komisie – Usmernenia EÚ pre uplatňovanie pravidiel štátnej pomoci v súvislosti s rýchlym zavádzaním širokopásmových sietí (Ú. v. EÚ C 25, 26.1.2013, s. 1).</w:t>
      </w:r>
    </w:p>
  </w:footnote>
  <w:footnote w:id="11">
    <w:p w:rsidR="003B12C5" w:rsidRPr="003B12C5" w:rsidRDefault="003B12C5" w:rsidP="00333E65">
      <w:pPr>
        <w:pStyle w:val="Textpoznmkypodiarou"/>
        <w:spacing w:after="0" w:line="240" w:lineRule="auto"/>
        <w:ind w:left="720" w:hanging="720"/>
        <w:jc w:val="both"/>
        <w:rPr>
          <w:lang w:val="pl-PL"/>
        </w:rPr>
      </w:pPr>
      <w:r w:rsidRPr="00333E65">
        <w:rPr>
          <w:rStyle w:val="Odkaznapoznmkupodiarou"/>
          <w:sz w:val="20"/>
        </w:rPr>
        <w:footnoteRef/>
      </w:r>
      <w:r w:rsidRPr="00333E65">
        <w:rPr>
          <w:sz w:val="20"/>
          <w:lang w:val="pl-PL"/>
        </w:rPr>
        <w:t xml:space="preserve"> </w:t>
      </w:r>
      <w:r w:rsidRPr="00333E65">
        <w:rPr>
          <w:sz w:val="20"/>
          <w:lang w:val="pl-PL"/>
        </w:rPr>
        <w:tab/>
        <w:t>„MSP“ sú podniky, ktoré spĺňajú podmienky stanovené v odporúčaní Komisie zo 6. mája 2003 o vymedzení mikropodnikov, malých a stredných podnikov (Ú. v. EÚ L 124, 20.5.2003, s. 36).</w:t>
      </w:r>
    </w:p>
  </w:footnote>
  <w:footnote w:id="12">
    <w:p w:rsidR="003B12C5" w:rsidRPr="003B12C5" w:rsidRDefault="003B12C5" w:rsidP="003B12C5">
      <w:pPr>
        <w:pStyle w:val="Textpoznmkypodiarou"/>
        <w:rPr>
          <w:lang w:val="pl-PL"/>
        </w:rPr>
      </w:pPr>
      <w:r w:rsidRPr="00DE66D5">
        <w:rPr>
          <w:rStyle w:val="Odkaznapoznmkupodiarou"/>
        </w:rPr>
        <w:footnoteRef/>
      </w:r>
      <w:r w:rsidRPr="003B12C5">
        <w:rPr>
          <w:lang w:val="pl-PL"/>
        </w:rPr>
        <w:t xml:space="preserve"> </w:t>
      </w:r>
      <w:r w:rsidRPr="003B12C5">
        <w:rPr>
          <w:lang w:val="pl-PL"/>
        </w:rPr>
        <w:tab/>
      </w:r>
      <w:r w:rsidRPr="00333E65">
        <w:rPr>
          <w:sz w:val="20"/>
          <w:lang w:val="pl-PL"/>
        </w:rPr>
        <w:t>Samotné nadobudnutie akcií podniku nepredstavuje počiatočnú investíciu.</w:t>
      </w:r>
    </w:p>
  </w:footnote>
  <w:footnote w:id="13">
    <w:p w:rsidR="003B12C5" w:rsidRPr="00333E65" w:rsidRDefault="003B12C5" w:rsidP="00333E65">
      <w:pPr>
        <w:pStyle w:val="Textpoznmkypodiarou"/>
        <w:spacing w:after="0" w:line="240" w:lineRule="auto"/>
        <w:ind w:left="720" w:hanging="720"/>
        <w:jc w:val="both"/>
        <w:rPr>
          <w:sz w:val="20"/>
          <w:lang w:val="pl-PL"/>
        </w:rPr>
      </w:pPr>
      <w:r w:rsidRPr="00333E65">
        <w:rPr>
          <w:rStyle w:val="Odkaznapoznmkupodiarou"/>
          <w:sz w:val="20"/>
        </w:rPr>
        <w:footnoteRef/>
      </w:r>
      <w:r w:rsidRPr="00333E65">
        <w:rPr>
          <w:sz w:val="20"/>
          <w:lang w:val="pl-PL"/>
        </w:rPr>
        <w:t xml:space="preserve"> </w:t>
      </w:r>
      <w:r w:rsidRPr="00333E65">
        <w:rPr>
          <w:sz w:val="20"/>
          <w:lang w:val="pl-PL"/>
        </w:rPr>
        <w:tab/>
        <w:t>„Rovnaká alebo podobná činnosť“ je činnosť patriaca do tej istej triedy (štvormiestny číselný kód) štatistickej klasifikácie ekonomických činností NACE Rev. 2.</w:t>
      </w:r>
    </w:p>
  </w:footnote>
  <w:footnote w:id="14">
    <w:p w:rsidR="003B12C5" w:rsidRPr="003B12C5" w:rsidRDefault="003B12C5" w:rsidP="00333E65">
      <w:pPr>
        <w:pStyle w:val="Textpoznmkypodiarou"/>
        <w:spacing w:after="0" w:line="240" w:lineRule="auto"/>
        <w:ind w:left="720" w:hanging="720"/>
        <w:jc w:val="both"/>
        <w:rPr>
          <w:lang w:val="pl-PL"/>
        </w:rPr>
      </w:pPr>
      <w:r w:rsidRPr="00333E65">
        <w:rPr>
          <w:rStyle w:val="Odkaznapoznmkupodiarou"/>
          <w:sz w:val="20"/>
        </w:rPr>
        <w:footnoteRef/>
      </w:r>
      <w:r w:rsidRPr="00333E65">
        <w:rPr>
          <w:sz w:val="20"/>
          <w:lang w:val="pl-PL"/>
        </w:rPr>
        <w:t xml:space="preserve"> </w:t>
      </w:r>
      <w:r w:rsidRPr="00333E65">
        <w:rPr>
          <w:sz w:val="20"/>
          <w:lang w:val="pl-PL"/>
        </w:rPr>
        <w:tab/>
        <w:t>Strop vymedzujúci notifikačnú povinnosť je vymedzený v bode 20 písm. n) usmernení o regionálnej štátnej pomoci.</w:t>
      </w:r>
    </w:p>
  </w:footnote>
  <w:footnote w:id="15">
    <w:p w:rsidR="003B12C5" w:rsidRPr="003B12C5" w:rsidRDefault="003B12C5" w:rsidP="00333E65">
      <w:pPr>
        <w:pStyle w:val="Textpoznmkypodiarou"/>
        <w:spacing w:after="0" w:line="240" w:lineRule="auto"/>
        <w:ind w:left="720" w:hanging="720"/>
        <w:jc w:val="both"/>
        <w:rPr>
          <w:lang w:val="pl-PL"/>
        </w:rPr>
      </w:pPr>
      <w:r w:rsidRPr="00DE66D5">
        <w:rPr>
          <w:rStyle w:val="Odkaznapoznmkupodiarou"/>
        </w:rPr>
        <w:footnoteRef/>
      </w:r>
      <w:r w:rsidRPr="003B12C5">
        <w:rPr>
          <w:lang w:val="pl-PL"/>
        </w:rPr>
        <w:t xml:space="preserve"> </w:t>
      </w:r>
      <w:r w:rsidRPr="003B12C5">
        <w:rPr>
          <w:lang w:val="pl-PL"/>
        </w:rPr>
        <w:tab/>
      </w:r>
      <w:r w:rsidRPr="00333E65">
        <w:rPr>
          <w:sz w:val="20"/>
          <w:lang w:val="pl-PL"/>
        </w:rPr>
        <w:t>V odvetví dopravy nemôžu byť výdavky na nákup dopravných zariadení zahrnuté do jednotného súboru výdavkových položiek. Takéto výdavky nie sú v prípade počiatočných investícií oprávnené.</w:t>
      </w:r>
    </w:p>
  </w:footnote>
  <w:footnote w:id="16">
    <w:p w:rsidR="003B12C5" w:rsidRPr="003B12C5" w:rsidRDefault="003B12C5" w:rsidP="003B12C5">
      <w:pPr>
        <w:pStyle w:val="Textpoznmkypodiarou"/>
        <w:rPr>
          <w:lang w:val="pl-PL"/>
        </w:rPr>
      </w:pPr>
      <w:r w:rsidRPr="00DE66D5">
        <w:rPr>
          <w:rStyle w:val="Odkaznapoznmkupodiarou"/>
        </w:rPr>
        <w:footnoteRef/>
      </w:r>
      <w:r w:rsidRPr="003B12C5">
        <w:rPr>
          <w:lang w:val="pl-PL"/>
        </w:rPr>
        <w:t xml:space="preserve"> </w:t>
      </w:r>
      <w:r w:rsidRPr="00333E65">
        <w:rPr>
          <w:sz w:val="20"/>
          <w:lang w:val="pl-PL"/>
        </w:rPr>
        <w:tab/>
        <w:t>Uvedené ustanovenie nemusí platiť pre MSP ako ani v prípade nadobudnutia podniku.</w:t>
      </w:r>
    </w:p>
  </w:footnote>
  <w:footnote w:id="17">
    <w:p w:rsidR="003B12C5" w:rsidRPr="00333E65" w:rsidRDefault="003B12C5" w:rsidP="00333E65">
      <w:pPr>
        <w:pStyle w:val="Textpoznmkypodiarou"/>
        <w:spacing w:after="0" w:line="240" w:lineRule="auto"/>
        <w:ind w:left="720" w:hanging="720"/>
        <w:jc w:val="both"/>
        <w:rPr>
          <w:sz w:val="20"/>
          <w:szCs w:val="20"/>
        </w:rPr>
      </w:pPr>
      <w:r w:rsidRPr="00DE66D5">
        <w:rPr>
          <w:rStyle w:val="Odkaznapoznmkupodiarou"/>
        </w:rPr>
        <w:footnoteRef/>
      </w:r>
      <w:r w:rsidRPr="003B12C5">
        <w:rPr>
          <w:lang w:val="pl-PL"/>
        </w:rPr>
        <w:t xml:space="preserve">  </w:t>
      </w:r>
      <w:r w:rsidRPr="003B12C5">
        <w:rPr>
          <w:lang w:val="pl-PL"/>
        </w:rPr>
        <w:tab/>
      </w:r>
      <w:r w:rsidRPr="00333E65">
        <w:rPr>
          <w:sz w:val="20"/>
          <w:lang w:val="pl-PL"/>
        </w:rPr>
        <w:t xml:space="preserve">V bode 101 usmernení o regionálnej štátnej pomoci sa stanovuje, že nehmotné aktíva, ktoré sú oprávnené na výpočet investičných nákladov, musia zostať spojené s danou podporovanou oblasťou a nesmú sa </w:t>
      </w:r>
      <w:r w:rsidRPr="00333E65">
        <w:rPr>
          <w:sz w:val="20"/>
          <w:szCs w:val="20"/>
          <w:lang w:val="pl-PL"/>
        </w:rPr>
        <w:t xml:space="preserve">presunúť do iných regiónov. </w:t>
      </w:r>
      <w:r w:rsidRPr="00333E65">
        <w:rPr>
          <w:sz w:val="20"/>
          <w:szCs w:val="20"/>
        </w:rPr>
        <w:t xml:space="preserve">Nehmotné aktíva musia na tento účel spĺňať tieto podmienky: </w:t>
      </w:r>
    </w:p>
    <w:p w:rsidR="003B12C5" w:rsidRPr="00333E65" w:rsidRDefault="003B12C5" w:rsidP="00333E65">
      <w:pPr>
        <w:pStyle w:val="Textpoznmkypodiarou"/>
        <w:numPr>
          <w:ilvl w:val="0"/>
          <w:numId w:val="7"/>
        </w:numPr>
        <w:spacing w:after="0" w:line="240" w:lineRule="auto"/>
        <w:ind w:hanging="720"/>
        <w:jc w:val="both"/>
        <w:rPr>
          <w:sz w:val="20"/>
          <w:szCs w:val="20"/>
          <w:lang w:val="pl-PL"/>
        </w:rPr>
      </w:pPr>
      <w:r w:rsidRPr="00333E65">
        <w:rPr>
          <w:sz w:val="20"/>
          <w:szCs w:val="20"/>
          <w:lang w:val="pl-PL"/>
        </w:rPr>
        <w:t xml:space="preserve">musia sa používať výhradne v podniku, ktorý je príjemcom pomoci, </w:t>
      </w:r>
    </w:p>
    <w:p w:rsidR="003B12C5" w:rsidRPr="00333E65" w:rsidRDefault="003B12C5" w:rsidP="00333E65">
      <w:pPr>
        <w:pStyle w:val="Textpoznmkypodiarou"/>
        <w:numPr>
          <w:ilvl w:val="0"/>
          <w:numId w:val="7"/>
        </w:numPr>
        <w:spacing w:after="0" w:line="240" w:lineRule="auto"/>
        <w:ind w:hanging="720"/>
        <w:jc w:val="both"/>
        <w:rPr>
          <w:sz w:val="20"/>
        </w:rPr>
      </w:pPr>
      <w:r w:rsidRPr="00333E65">
        <w:rPr>
          <w:sz w:val="20"/>
        </w:rPr>
        <w:t xml:space="preserve">musia byť odpisovateľné, </w:t>
      </w:r>
    </w:p>
    <w:p w:rsidR="003B12C5" w:rsidRPr="00333E65" w:rsidRDefault="003B12C5" w:rsidP="00333E65">
      <w:pPr>
        <w:pStyle w:val="Textpoznmkypodiarou"/>
        <w:numPr>
          <w:ilvl w:val="0"/>
          <w:numId w:val="7"/>
        </w:numPr>
        <w:spacing w:after="0" w:line="240" w:lineRule="auto"/>
        <w:ind w:hanging="720"/>
        <w:jc w:val="both"/>
        <w:rPr>
          <w:sz w:val="20"/>
        </w:rPr>
      </w:pPr>
      <w:r w:rsidRPr="00333E65">
        <w:rPr>
          <w:sz w:val="20"/>
        </w:rPr>
        <w:t>musia byť nadobudnuté za trhových podmienok od tretích strán, ktoré nemajú väzby na kupujúceho.</w:t>
      </w:r>
    </w:p>
    <w:p w:rsidR="003B12C5" w:rsidRPr="00DE66D5" w:rsidRDefault="003B12C5" w:rsidP="00333E65">
      <w:pPr>
        <w:pStyle w:val="Textpoznmkypodiarou"/>
        <w:spacing w:after="0" w:line="240" w:lineRule="auto"/>
        <w:ind w:left="720" w:hanging="720"/>
        <w:jc w:val="both"/>
      </w:pPr>
      <w:r w:rsidRPr="00333E65">
        <w:rPr>
          <w:sz w:val="20"/>
        </w:rPr>
        <w:tab/>
        <w:t>V bode 102 usmernení o regionálnej štátnej pomoci sa stanovuje, že nehmotné aktíva musia byť zahrnuté do majetku podniku prijímajúceho pomoc a zostať spojené s projektom, na ktorý bola poskytnutá pomoc, aspoň päť rokov (tri roky v prípade MSP).</w:t>
      </w:r>
    </w:p>
  </w:footnote>
  <w:footnote w:id="18">
    <w:p w:rsidR="003B12C5" w:rsidRPr="00DE66D5" w:rsidRDefault="003B12C5" w:rsidP="009D7D0E">
      <w:pPr>
        <w:pStyle w:val="Textpoznmkypodiarou"/>
        <w:spacing w:after="0" w:line="240" w:lineRule="auto"/>
        <w:ind w:left="720" w:hanging="720"/>
        <w:jc w:val="both"/>
      </w:pPr>
      <w:r w:rsidRPr="00DE66D5">
        <w:rPr>
          <w:rStyle w:val="Odkaznapoznmkupodiarou"/>
        </w:rPr>
        <w:footnoteRef/>
      </w:r>
      <w:r w:rsidRPr="00DE66D5">
        <w:t xml:space="preserve"> </w:t>
      </w:r>
      <w:r w:rsidRPr="009D7D0E">
        <w:rPr>
          <w:sz w:val="20"/>
          <w:szCs w:val="20"/>
        </w:rPr>
        <w:tab/>
        <w:t>Operačný program alebo program rozvoja vymedzený v súvislosti s Európskym fondom regionálneho rozvoja (EFRR), Európskym sociálnym fondom, Kohéznym fondom, Európskym poľnohospodárskym fondom pre rozvoj vidieka a Európskym námorným a rybárskym fondom (ENRF).</w:t>
      </w:r>
    </w:p>
  </w:footnote>
  <w:footnote w:id="19">
    <w:p w:rsidR="003B12C5" w:rsidRPr="00DE66D5" w:rsidRDefault="003B12C5" w:rsidP="009D7D0E">
      <w:pPr>
        <w:pStyle w:val="Textpoznmkypodiarou"/>
        <w:spacing w:after="0" w:line="240" w:lineRule="auto"/>
        <w:ind w:left="720" w:hanging="720"/>
        <w:jc w:val="both"/>
      </w:pPr>
      <w:r w:rsidRPr="00DE66D5">
        <w:rPr>
          <w:vertAlign w:val="superscript"/>
        </w:rPr>
        <w:footnoteRef/>
      </w:r>
      <w:r w:rsidRPr="00DE66D5">
        <w:t xml:space="preserve"> </w:t>
      </w:r>
      <w:r w:rsidRPr="009D7D0E">
        <w:rPr>
          <w:sz w:val="20"/>
          <w:szCs w:val="20"/>
        </w:rPr>
        <w:tab/>
        <w:t xml:space="preserve">Táto otázka sa nevzťahuje na zvýhodnené pôžičky, verejné pôžičky do kmeňového kapitálu alebo verejné účasti, ktoré nespĺňajú zásady investovania v trhovom hospodárstve, na štátne záruky, ktoré obsahujú prvky pomoci, ani na verejnú podporu poskytnutú v rozsahu pravidla </w:t>
      </w:r>
      <w:r w:rsidRPr="009D7D0E">
        <w:rPr>
          <w:i/>
          <w:sz w:val="20"/>
          <w:szCs w:val="20"/>
        </w:rPr>
        <w:t>de minimis.</w:t>
      </w:r>
    </w:p>
  </w:footnote>
  <w:footnote w:id="20">
    <w:p w:rsidR="003B12C5" w:rsidRPr="009D7D0E" w:rsidRDefault="003B12C5" w:rsidP="009D7D0E">
      <w:pPr>
        <w:pStyle w:val="Textpoznmkypodiarou"/>
        <w:spacing w:after="0" w:line="240" w:lineRule="auto"/>
        <w:ind w:left="720" w:hanging="720"/>
        <w:jc w:val="both"/>
        <w:rPr>
          <w:sz w:val="20"/>
          <w:szCs w:val="20"/>
        </w:rPr>
      </w:pPr>
      <w:r w:rsidRPr="009D7D0E">
        <w:rPr>
          <w:rStyle w:val="Odkaznapoznmkupodiarou"/>
          <w:sz w:val="20"/>
          <w:szCs w:val="20"/>
        </w:rPr>
        <w:footnoteRef/>
      </w:r>
      <w:r w:rsidRPr="009D7D0E">
        <w:rPr>
          <w:sz w:val="20"/>
          <w:szCs w:val="20"/>
        </w:rPr>
        <w:t xml:space="preserve"> </w:t>
      </w:r>
      <w:r w:rsidRPr="009D7D0E">
        <w:rPr>
          <w:sz w:val="20"/>
          <w:szCs w:val="20"/>
        </w:rPr>
        <w:tab/>
        <w:t>Na tento účel možno uviesť odkaz, okrem iného, na posúdenie vplyvu navrhovanej schémy alebo na hodnotenia ex post podobných schém.</w:t>
      </w:r>
    </w:p>
  </w:footnote>
  <w:footnote w:id="21">
    <w:p w:rsidR="003B12C5" w:rsidRPr="009D7D0E" w:rsidRDefault="003B12C5" w:rsidP="009D7D0E">
      <w:pPr>
        <w:pStyle w:val="Textpoznmkypodiarou"/>
        <w:spacing w:after="0" w:line="240" w:lineRule="auto"/>
        <w:ind w:left="720" w:hanging="720"/>
        <w:jc w:val="both"/>
        <w:rPr>
          <w:sz w:val="20"/>
          <w:szCs w:val="20"/>
        </w:rPr>
      </w:pPr>
      <w:r w:rsidRPr="009D7D0E">
        <w:rPr>
          <w:rStyle w:val="Odkaznapoznmkupodiarou"/>
          <w:sz w:val="20"/>
          <w:szCs w:val="20"/>
        </w:rPr>
        <w:footnoteRef/>
      </w:r>
      <w:r w:rsidRPr="009D7D0E">
        <w:rPr>
          <w:sz w:val="20"/>
          <w:szCs w:val="20"/>
        </w:rPr>
        <w:t xml:space="preserve"> </w:t>
      </w:r>
      <w:r w:rsidRPr="009D7D0E">
        <w:rPr>
          <w:sz w:val="20"/>
          <w:szCs w:val="20"/>
        </w:rPr>
        <w:tab/>
        <w:t>Napríklad priame granty, oslobodenia od dane alebo zníženia daní, poplatkov sociálneho zabezpečenia alebo iných povinných poplatkov alebo ponuka pozemkov, tovaru alebo služieb za výhodné ceny atď.</w:t>
      </w:r>
    </w:p>
  </w:footnote>
  <w:footnote w:id="22">
    <w:p w:rsidR="003B12C5" w:rsidRPr="009D7D0E" w:rsidRDefault="003B12C5" w:rsidP="009D7D0E">
      <w:pPr>
        <w:pStyle w:val="Textpoznmkypodiarou"/>
        <w:spacing w:after="0" w:line="240" w:lineRule="auto"/>
        <w:ind w:left="720" w:hanging="720"/>
        <w:jc w:val="both"/>
        <w:rPr>
          <w:sz w:val="20"/>
          <w:szCs w:val="20"/>
        </w:rPr>
      </w:pPr>
      <w:r w:rsidRPr="009D7D0E">
        <w:rPr>
          <w:rStyle w:val="Odkaznapoznmkupodiarou"/>
          <w:sz w:val="20"/>
          <w:szCs w:val="20"/>
        </w:rPr>
        <w:footnoteRef/>
      </w:r>
      <w:r w:rsidRPr="009D7D0E">
        <w:rPr>
          <w:sz w:val="20"/>
          <w:szCs w:val="20"/>
        </w:rPr>
        <w:t xml:space="preserve"> </w:t>
      </w:r>
      <w:r w:rsidRPr="009D7D0E">
        <w:rPr>
          <w:sz w:val="20"/>
          <w:szCs w:val="20"/>
        </w:rPr>
        <w:tab/>
        <w:t>Napríklad zvýhodnené úvery alebo bonifikácia úrokovej sadzby, štátne záruky, kúpa akciového podielu alebo náhradné poskytnutie kapitálu za výhodných podmienok.</w:t>
      </w:r>
    </w:p>
  </w:footnote>
  <w:footnote w:id="23">
    <w:p w:rsidR="003B12C5" w:rsidRPr="00DE66D5" w:rsidRDefault="003B12C5" w:rsidP="009D7D0E">
      <w:pPr>
        <w:pStyle w:val="Textpoznmkypodiarou"/>
        <w:spacing w:after="0" w:line="240" w:lineRule="auto"/>
        <w:ind w:left="720" w:hanging="720"/>
        <w:jc w:val="both"/>
      </w:pPr>
      <w:r w:rsidRPr="009D7D0E">
        <w:rPr>
          <w:rStyle w:val="Odkaznapoznmkupodiarou"/>
          <w:sz w:val="20"/>
          <w:szCs w:val="20"/>
        </w:rPr>
        <w:footnoteRef/>
      </w:r>
      <w:r w:rsidRPr="009D7D0E">
        <w:rPr>
          <w:sz w:val="20"/>
          <w:szCs w:val="20"/>
        </w:rPr>
        <w:t xml:space="preserve"> </w:t>
      </w:r>
      <w:r w:rsidRPr="009D7D0E">
        <w:rPr>
          <w:sz w:val="20"/>
          <w:szCs w:val="20"/>
        </w:rPr>
        <w:tab/>
        <w:t>Kontrafaktuálny scenár je vierohodný, ak je skutočný a týka sa faktorov rozhodovania prevládajúcich v čase rozhodovania príjemcu v súvislosti s investíciou</w:t>
      </w:r>
      <w:r w:rsidRPr="00DE66D5">
        <w:t>.</w:t>
      </w:r>
    </w:p>
  </w:footnote>
  <w:footnote w:id="24">
    <w:p w:rsidR="003B12C5" w:rsidRPr="00DE66D5" w:rsidRDefault="003B12C5" w:rsidP="009D7D0E">
      <w:pPr>
        <w:pStyle w:val="Textpoznmkypodiarou"/>
        <w:spacing w:after="0" w:line="240" w:lineRule="auto"/>
        <w:ind w:left="720" w:hanging="720"/>
        <w:jc w:val="both"/>
      </w:pPr>
      <w:r w:rsidRPr="00DE66D5">
        <w:rPr>
          <w:rStyle w:val="Odkaznapoznmkupodiarou"/>
        </w:rPr>
        <w:footnoteRef/>
      </w:r>
      <w:r w:rsidRPr="00DE66D5">
        <w:t xml:space="preserve"> </w:t>
      </w:r>
      <w:r w:rsidRPr="009D7D0E">
        <w:rPr>
          <w:sz w:val="20"/>
        </w:rPr>
        <w:tab/>
        <w:t>Aby Komisia mohla posúdiť možné negatívne účinky, členský štát môže predložiť každé posúdenie vplyvu, ktoré má k dispozícii, ako aj hodnotenia ex post vykonané v prípade podobných predchádzajúcich schém (ako je uvedené v bode 125 usmernení o regionálnej štátnej pomoci).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54F4"/>
    <w:multiLevelType w:val="multilevel"/>
    <w:tmpl w:val="F0F445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2C4A5B"/>
    <w:multiLevelType w:val="multilevel"/>
    <w:tmpl w:val="3550B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3B6BFA"/>
    <w:multiLevelType w:val="multilevel"/>
    <w:tmpl w:val="805E07E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1C6E91"/>
    <w:multiLevelType w:val="multilevel"/>
    <w:tmpl w:val="B6B26554"/>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 w15:restartNumberingAfterBreak="0">
    <w:nsid w:val="453F3C7D"/>
    <w:multiLevelType w:val="hybridMultilevel"/>
    <w:tmpl w:val="7CF07B88"/>
    <w:lvl w:ilvl="0" w:tplc="00064B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D46DA5"/>
    <w:multiLevelType w:val="multilevel"/>
    <w:tmpl w:val="AB8CCF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auto"/>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2F405F"/>
    <w:multiLevelType w:val="hybridMultilevel"/>
    <w:tmpl w:val="99E2E4DC"/>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05DCE"/>
    <w:multiLevelType w:val="multilevel"/>
    <w:tmpl w:val="C3842250"/>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8"/>
    <w:lvlOverride w:ilvl="0">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12C5"/>
    <w:rsid w:val="000E503C"/>
    <w:rsid w:val="00186C59"/>
    <w:rsid w:val="00333E65"/>
    <w:rsid w:val="003B12C5"/>
    <w:rsid w:val="004659DC"/>
    <w:rsid w:val="00475775"/>
    <w:rsid w:val="005C6BF1"/>
    <w:rsid w:val="00695E50"/>
    <w:rsid w:val="00924F31"/>
    <w:rsid w:val="009D7D0E"/>
    <w:rsid w:val="00FC6A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0C5C0D-6259-45E1-AB4A-6E1F1104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3B12C5"/>
    <w:rPr>
      <w:vertAlign w:val="superscript"/>
    </w:rPr>
  </w:style>
  <w:style w:type="paragraph" w:customStyle="1" w:styleId="SUPERSChar">
    <w:name w:val="SUPERS Char"/>
    <w:aliases w:val="EN Footnote Reference Char"/>
    <w:basedOn w:val="Normlny"/>
    <w:link w:val="Odkaznapoznmkupodiarou"/>
    <w:uiPriority w:val="99"/>
    <w:rsid w:val="003B12C5"/>
    <w:pPr>
      <w:spacing w:after="160" w:line="240" w:lineRule="exact"/>
    </w:pPr>
    <w:rPr>
      <w:sz w:val="20"/>
      <w:szCs w:val="20"/>
      <w:vertAlign w:val="superscript"/>
      <w:lang w:eastAsia="en-GB"/>
    </w:rPr>
  </w:style>
  <w:style w:type="paragraph" w:customStyle="1" w:styleId="ListDash2">
    <w:name w:val="List Dash 2"/>
    <w:basedOn w:val="Normlny"/>
    <w:rsid w:val="003B12C5"/>
    <w:pPr>
      <w:numPr>
        <w:numId w:val="8"/>
      </w:numPr>
      <w:spacing w:after="240" w:line="240" w:lineRule="auto"/>
      <w:jc w:val="both"/>
    </w:pPr>
    <w:rPr>
      <w:rFonts w:ascii="Times New Roman" w:eastAsia="Times New Roman" w:hAnsi="Times New Roman"/>
      <w:sz w:val="24"/>
      <w:szCs w:val="20"/>
      <w:lang w:val="sk-SK"/>
    </w:rPr>
  </w:style>
  <w:style w:type="paragraph" w:styleId="Hlavika">
    <w:name w:val="header"/>
    <w:basedOn w:val="Normlny"/>
    <w:link w:val="HlavikaChar"/>
    <w:uiPriority w:val="99"/>
    <w:unhideWhenUsed/>
    <w:rsid w:val="003B12C5"/>
    <w:pPr>
      <w:tabs>
        <w:tab w:val="center" w:pos="4536"/>
        <w:tab w:val="right" w:pos="9072"/>
      </w:tabs>
    </w:pPr>
  </w:style>
  <w:style w:type="character" w:customStyle="1" w:styleId="HlavikaChar">
    <w:name w:val="Hlavička Char"/>
    <w:link w:val="Hlavika"/>
    <w:uiPriority w:val="99"/>
    <w:rsid w:val="003B12C5"/>
    <w:rPr>
      <w:sz w:val="22"/>
      <w:szCs w:val="22"/>
      <w:lang w:eastAsia="en-US"/>
    </w:rPr>
  </w:style>
  <w:style w:type="paragraph" w:styleId="Pta">
    <w:name w:val="footer"/>
    <w:basedOn w:val="Normlny"/>
    <w:link w:val="PtaChar"/>
    <w:uiPriority w:val="99"/>
    <w:unhideWhenUsed/>
    <w:rsid w:val="003B12C5"/>
    <w:pPr>
      <w:tabs>
        <w:tab w:val="center" w:pos="4536"/>
        <w:tab w:val="right" w:pos="9072"/>
      </w:tabs>
    </w:pPr>
  </w:style>
  <w:style w:type="character" w:customStyle="1" w:styleId="PtaChar">
    <w:name w:val="Päta Char"/>
    <w:link w:val="Pta"/>
    <w:uiPriority w:val="99"/>
    <w:rsid w:val="003B12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18201</Characters>
  <Application>Microsoft Office Word</Application>
  <DocSecurity>4</DocSecurity>
  <Lines>151</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2016-04-12T12:49:00Z</dcterms:created>
  <dcterms:modified xsi:type="dcterms:W3CDTF">2016-04-12T12:49:00Z</dcterms:modified>
</cp:coreProperties>
</file>