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C34D71" w:rsidRPr="00C34D71" w:rsidTr="004E038F">
        <w:tc>
          <w:tcPr>
            <w:tcW w:w="9356" w:type="dxa"/>
            <w:tcBorders>
              <w:top w:val="single" w:sz="4" w:space="0" w:color="auto"/>
              <w:bottom w:val="single" w:sz="4" w:space="0" w:color="auto"/>
            </w:tcBorders>
            <w:shd w:val="pct15" w:color="auto" w:fill="FFFFFF"/>
          </w:tcPr>
          <w:p w:rsidR="00C34D71" w:rsidRPr="00C34D71" w:rsidRDefault="00C34D71" w:rsidP="00C34D71">
            <w:pPr>
              <w:keepNext/>
              <w:numPr>
                <w:ilvl w:val="1"/>
                <w:numId w:val="0"/>
              </w:numPr>
              <w:tabs>
                <w:tab w:val="num" w:pos="850"/>
              </w:tabs>
              <w:spacing w:before="240" w:after="240" w:line="240" w:lineRule="auto"/>
              <w:ind w:left="850" w:hanging="850"/>
              <w:jc w:val="both"/>
              <w:outlineLvl w:val="1"/>
              <w:rPr>
                <w:rFonts w:ascii="Times New Roman" w:eastAsia="Times New Roman" w:hAnsi="Times New Roman"/>
                <w:b/>
                <w:bCs/>
                <w:sz w:val="24"/>
                <w:szCs w:val="26"/>
                <w:lang w:val="sk-SK"/>
              </w:rPr>
            </w:pPr>
            <w:bookmarkStart w:id="0" w:name="_Toc414370357"/>
            <w:bookmarkStart w:id="1" w:name="_Toc416949009"/>
            <w:bookmarkStart w:id="2" w:name="_GoBack"/>
            <w:bookmarkEnd w:id="2"/>
            <w:r w:rsidRPr="00C34D71">
              <w:rPr>
                <w:rFonts w:ascii="Times New Roman" w:eastAsia="Times New Roman" w:hAnsi="Times New Roman"/>
                <w:b/>
                <w:bCs/>
                <w:sz w:val="24"/>
                <w:szCs w:val="26"/>
                <w:lang w:val="sk-SK"/>
              </w:rPr>
              <w:t>Part III.1.C – Formulár doplňujúcich informácií o schémach regionálnej prevádzkovej pomoci</w:t>
            </w:r>
            <w:bookmarkEnd w:id="0"/>
            <w:bookmarkEnd w:id="1"/>
          </w:p>
        </w:tc>
      </w:tr>
    </w:tbl>
    <w:p w:rsidR="00C34D71" w:rsidRPr="00C34D71" w:rsidRDefault="00C34D71" w:rsidP="00C34D71">
      <w:pPr>
        <w:spacing w:before="120" w:after="120" w:line="240" w:lineRule="auto"/>
        <w:jc w:val="both"/>
        <w:rPr>
          <w:rFonts w:ascii="Times New Roman" w:hAnsi="Times New Roman"/>
          <w:i/>
          <w:sz w:val="24"/>
          <w:lang w:val="sk-SK"/>
        </w:rPr>
      </w:pPr>
    </w:p>
    <w:p w:rsidR="00C34D71" w:rsidRPr="00C34D71" w:rsidRDefault="00C34D71" w:rsidP="00C34D71">
      <w:pPr>
        <w:spacing w:before="120" w:after="120" w:line="240" w:lineRule="auto"/>
        <w:jc w:val="both"/>
        <w:rPr>
          <w:rFonts w:ascii="Times New Roman" w:hAnsi="Times New Roman"/>
          <w:i/>
          <w:sz w:val="24"/>
          <w:lang w:val="sk-SK"/>
        </w:rPr>
      </w:pPr>
      <w:r w:rsidRPr="00C34D71">
        <w:rPr>
          <w:rFonts w:ascii="Times New Roman" w:hAnsi="Times New Roman"/>
          <w:i/>
          <w:sz w:val="24"/>
          <w:lang w:val="sk-SK"/>
        </w:rPr>
        <w:t>Tieto doplňujúce informácie musia byť použité na oznámenie akýchkoľvek schém prevádzkovej pomoci, na ktoré sa vzťahujú Usmernenia o regionálnej štátnej pomoci na roky 2014 –2020</w:t>
      </w:r>
      <w:r w:rsidRPr="00C34D71">
        <w:rPr>
          <w:rFonts w:ascii="Times New Roman" w:hAnsi="Times New Roman"/>
          <w:i/>
          <w:sz w:val="24"/>
          <w:vertAlign w:val="superscript"/>
          <w:lang w:val="sk-SK"/>
        </w:rPr>
        <w:footnoteReference w:id="1"/>
      </w:r>
      <w:r w:rsidRPr="00C34D71">
        <w:rPr>
          <w:rFonts w:ascii="Times New Roman" w:hAnsi="Times New Roman"/>
          <w:i/>
          <w:sz w:val="24"/>
          <w:lang w:val="sk-SK"/>
        </w:rPr>
        <w:t xml:space="preserve"> (ďalej len „usmernenia o regionálnej štátnej pomoci“).</w:t>
      </w:r>
    </w:p>
    <w:p w:rsidR="00C34D71" w:rsidRPr="00C34D71" w:rsidRDefault="00C34D71" w:rsidP="00C34D71">
      <w:pPr>
        <w:spacing w:before="120" w:after="120" w:line="240" w:lineRule="auto"/>
        <w:jc w:val="both"/>
        <w:rPr>
          <w:rFonts w:ascii="Times New Roman" w:hAnsi="Times New Roman"/>
          <w:sz w:val="24"/>
          <w:lang w:val="sk-SK"/>
        </w:rPr>
      </w:pPr>
    </w:p>
    <w:tbl>
      <w:tblPr>
        <w:tblW w:w="93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22"/>
      </w:tblGrid>
      <w:tr w:rsidR="00C34D71" w:rsidRPr="00C34D71" w:rsidTr="004E038F">
        <w:tc>
          <w:tcPr>
            <w:tcW w:w="9322" w:type="dxa"/>
            <w:tcBorders>
              <w:top w:val="single" w:sz="4" w:space="0" w:color="auto"/>
              <w:bottom w:val="single" w:sz="4" w:space="0" w:color="auto"/>
            </w:tcBorders>
            <w:shd w:val="pct15" w:color="auto" w:fill="FFFFFF"/>
          </w:tcPr>
          <w:p w:rsidR="00C34D71" w:rsidRPr="00C34D71" w:rsidRDefault="00C34D71" w:rsidP="00C34D71">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C34D71">
              <w:rPr>
                <w:rFonts w:ascii="Times New Roman" w:eastAsia="Times New Roman" w:hAnsi="Times New Roman"/>
                <w:bCs/>
                <w:iCs/>
                <w:sz w:val="24"/>
                <w:lang w:val="sk-SK"/>
              </w:rPr>
              <w:t>Rozsah pôsobnosti</w:t>
            </w:r>
          </w:p>
        </w:tc>
      </w:tr>
    </w:tbl>
    <w:p w:rsidR="00C34D71" w:rsidRPr="00C34D71" w:rsidRDefault="00C34D71" w:rsidP="00C34D71">
      <w:pPr>
        <w:numPr>
          <w:ilvl w:val="1"/>
          <w:numId w:val="5"/>
        </w:numPr>
        <w:spacing w:before="120" w:after="240" w:line="240" w:lineRule="auto"/>
        <w:jc w:val="both"/>
        <w:rPr>
          <w:rFonts w:ascii="Times New Roman" w:eastAsia="Times New Roman" w:hAnsi="Times New Roman"/>
          <w:sz w:val="24"/>
          <w:szCs w:val="20"/>
          <w:lang w:val="sk-SK"/>
        </w:rPr>
      </w:pPr>
      <w:r w:rsidRPr="00C34D71">
        <w:rPr>
          <w:rFonts w:ascii="Times New Roman" w:eastAsia="Times New Roman" w:hAnsi="Times New Roman"/>
          <w:sz w:val="24"/>
          <w:szCs w:val="20"/>
          <w:lang w:val="sk-SK"/>
        </w:rPr>
        <w:t>Uveďte, aký druh prevádzkovej pomoci bude poskytnutý:</w:t>
      </w:r>
    </w:p>
    <w:p w:rsidR="00C34D71" w:rsidRPr="00C34D71" w:rsidRDefault="00C34D71" w:rsidP="00C34D71">
      <w:pPr>
        <w:numPr>
          <w:ilvl w:val="0"/>
          <w:numId w:val="4"/>
        </w:numPr>
        <w:tabs>
          <w:tab w:val="left" w:pos="2161"/>
        </w:tabs>
        <w:spacing w:before="120" w:after="240" w:line="240" w:lineRule="auto"/>
        <w:jc w:val="both"/>
        <w:rPr>
          <w:rFonts w:ascii="Times New Roman" w:hAnsi="Times New Roman"/>
          <w:sz w:val="24"/>
          <w:lang w:val="sk-SK"/>
        </w:rPr>
      </w:pPr>
      <w:r w:rsidRPr="00C34D71">
        <w:rPr>
          <w:rFonts w:ascii="Times New Roman" w:hAnsi="Times New Roman"/>
          <w:sz w:val="24"/>
          <w:lang w:val="sk-SK"/>
        </w:rPr>
        <w:fldChar w:fldCharType="begin">
          <w:ffData>
            <w:name w:val="Check1"/>
            <w:enabled/>
            <w:calcOnExit w:val="0"/>
            <w:checkBox>
              <w:sizeAuto/>
              <w:default w:val="0"/>
            </w:checkBox>
          </w:ffData>
        </w:fldChar>
      </w:r>
      <w:r w:rsidRPr="00C34D71">
        <w:rPr>
          <w:rFonts w:ascii="Times New Roman" w:hAnsi="Times New Roman"/>
          <w:sz w:val="24"/>
          <w:lang w:val="sk-SK"/>
        </w:rPr>
        <w:instrText xml:space="preserve"> FORMCHECKBOX </w:instrText>
      </w:r>
      <w:r w:rsidR="00D956D7">
        <w:rPr>
          <w:rFonts w:ascii="Times New Roman" w:hAnsi="Times New Roman"/>
          <w:sz w:val="24"/>
          <w:lang w:val="sk-SK"/>
        </w:rPr>
      </w:r>
      <w:r w:rsidR="00D956D7">
        <w:rPr>
          <w:rFonts w:ascii="Times New Roman" w:hAnsi="Times New Roman"/>
          <w:sz w:val="24"/>
          <w:lang w:val="sk-SK"/>
        </w:rPr>
        <w:fldChar w:fldCharType="separate"/>
      </w:r>
      <w:r w:rsidRPr="00C34D71">
        <w:rPr>
          <w:rFonts w:ascii="Times New Roman" w:hAnsi="Times New Roman"/>
          <w:sz w:val="24"/>
          <w:lang w:val="sk-SK"/>
        </w:rPr>
        <w:fldChar w:fldCharType="end"/>
      </w:r>
      <w:r w:rsidRPr="00C34D71">
        <w:rPr>
          <w:rFonts w:ascii="Times New Roman" w:hAnsi="Times New Roman"/>
          <w:sz w:val="24"/>
          <w:lang w:val="sk-SK"/>
        </w:rPr>
        <w:tab/>
        <w:t>prevádzková pomoc na zníženie určitých špecifických ťažkostí, ktorým čelia MSP v oblastiach „a“</w:t>
      </w:r>
    </w:p>
    <w:p w:rsidR="00C34D71" w:rsidRPr="00C34D71" w:rsidRDefault="00C34D71" w:rsidP="00C34D71">
      <w:pPr>
        <w:numPr>
          <w:ilvl w:val="0"/>
          <w:numId w:val="4"/>
        </w:numPr>
        <w:tabs>
          <w:tab w:val="left" w:pos="2161"/>
        </w:tabs>
        <w:spacing w:before="120" w:after="240" w:line="240" w:lineRule="auto"/>
        <w:jc w:val="both"/>
        <w:rPr>
          <w:rFonts w:ascii="Times New Roman" w:hAnsi="Times New Roman"/>
          <w:sz w:val="24"/>
          <w:lang w:val="sk-SK"/>
        </w:rPr>
      </w:pPr>
      <w:r w:rsidRPr="00C34D71">
        <w:rPr>
          <w:rFonts w:ascii="Times New Roman" w:hAnsi="Times New Roman"/>
          <w:sz w:val="24"/>
          <w:lang w:val="sk-SK"/>
        </w:rPr>
        <w:fldChar w:fldCharType="begin">
          <w:ffData>
            <w:name w:val="Check1"/>
            <w:enabled/>
            <w:calcOnExit w:val="0"/>
            <w:checkBox>
              <w:sizeAuto/>
              <w:default w:val="0"/>
            </w:checkBox>
          </w:ffData>
        </w:fldChar>
      </w:r>
      <w:r w:rsidRPr="00C34D71">
        <w:rPr>
          <w:rFonts w:ascii="Times New Roman" w:hAnsi="Times New Roman"/>
          <w:sz w:val="24"/>
          <w:lang w:val="sk-SK"/>
        </w:rPr>
        <w:instrText xml:space="preserve"> FORMCHECKBOX </w:instrText>
      </w:r>
      <w:r w:rsidR="00D956D7">
        <w:rPr>
          <w:rFonts w:ascii="Times New Roman" w:hAnsi="Times New Roman"/>
          <w:sz w:val="24"/>
          <w:lang w:val="sk-SK"/>
        </w:rPr>
      </w:r>
      <w:r w:rsidR="00D956D7">
        <w:rPr>
          <w:rFonts w:ascii="Times New Roman" w:hAnsi="Times New Roman"/>
          <w:sz w:val="24"/>
          <w:lang w:val="sk-SK"/>
        </w:rPr>
        <w:fldChar w:fldCharType="separate"/>
      </w:r>
      <w:r w:rsidRPr="00C34D71">
        <w:rPr>
          <w:rFonts w:ascii="Times New Roman" w:hAnsi="Times New Roman"/>
          <w:sz w:val="24"/>
          <w:lang w:val="sk-SK"/>
        </w:rPr>
        <w:fldChar w:fldCharType="end"/>
      </w:r>
      <w:r w:rsidRPr="00C34D71">
        <w:rPr>
          <w:rFonts w:ascii="Times New Roman" w:hAnsi="Times New Roman"/>
          <w:sz w:val="24"/>
          <w:lang w:val="sk-SK"/>
        </w:rPr>
        <w:tab/>
        <w:t>prevádzková pomoc na kompenzáciu dodatočných nákladov v najvzdialenejších regiónoch</w:t>
      </w:r>
    </w:p>
    <w:p w:rsidR="00C34D71" w:rsidRPr="00C34D71" w:rsidRDefault="00C34D71" w:rsidP="00C34D71">
      <w:pPr>
        <w:numPr>
          <w:ilvl w:val="0"/>
          <w:numId w:val="4"/>
        </w:numPr>
        <w:tabs>
          <w:tab w:val="left" w:pos="2161"/>
        </w:tabs>
        <w:spacing w:before="120" w:after="240" w:line="240" w:lineRule="auto"/>
        <w:jc w:val="both"/>
        <w:rPr>
          <w:rFonts w:ascii="Times New Roman" w:hAnsi="Times New Roman"/>
          <w:sz w:val="24"/>
          <w:lang w:val="sk-SK"/>
        </w:rPr>
      </w:pPr>
      <w:r w:rsidRPr="00C34D71">
        <w:rPr>
          <w:rFonts w:ascii="Times New Roman" w:hAnsi="Times New Roman"/>
          <w:sz w:val="24"/>
          <w:lang w:val="sk-SK"/>
        </w:rPr>
        <w:fldChar w:fldCharType="begin">
          <w:ffData>
            <w:name w:val="Check1"/>
            <w:enabled/>
            <w:calcOnExit w:val="0"/>
            <w:checkBox>
              <w:sizeAuto/>
              <w:default w:val="0"/>
            </w:checkBox>
          </w:ffData>
        </w:fldChar>
      </w:r>
      <w:r w:rsidRPr="00C34D71">
        <w:rPr>
          <w:rFonts w:ascii="Times New Roman" w:hAnsi="Times New Roman"/>
          <w:sz w:val="24"/>
          <w:lang w:val="sk-SK"/>
        </w:rPr>
        <w:instrText xml:space="preserve"> FORMCHECKBOX </w:instrText>
      </w:r>
      <w:r w:rsidR="00D956D7">
        <w:rPr>
          <w:rFonts w:ascii="Times New Roman" w:hAnsi="Times New Roman"/>
          <w:sz w:val="24"/>
          <w:lang w:val="sk-SK"/>
        </w:rPr>
      </w:r>
      <w:r w:rsidR="00D956D7">
        <w:rPr>
          <w:rFonts w:ascii="Times New Roman" w:hAnsi="Times New Roman"/>
          <w:sz w:val="24"/>
          <w:lang w:val="sk-SK"/>
        </w:rPr>
        <w:fldChar w:fldCharType="separate"/>
      </w:r>
      <w:r w:rsidRPr="00C34D71">
        <w:rPr>
          <w:rFonts w:ascii="Times New Roman" w:hAnsi="Times New Roman"/>
          <w:sz w:val="24"/>
          <w:lang w:val="sk-SK"/>
        </w:rPr>
        <w:fldChar w:fldCharType="end"/>
      </w:r>
      <w:r w:rsidRPr="00C34D71">
        <w:rPr>
          <w:rFonts w:ascii="Times New Roman" w:hAnsi="Times New Roman"/>
          <w:sz w:val="24"/>
          <w:lang w:val="sk-SK"/>
        </w:rPr>
        <w:tab/>
        <w:t>prevádzková pomoc na zníženie úbytku obyvateľstva vo veľmi riedko osídlených oblastiach</w:t>
      </w:r>
    </w:p>
    <w:p w:rsidR="00C34D71" w:rsidRPr="00C34D71" w:rsidRDefault="00C34D71" w:rsidP="00C34D71">
      <w:pPr>
        <w:numPr>
          <w:ilvl w:val="0"/>
          <w:numId w:val="4"/>
        </w:numPr>
        <w:tabs>
          <w:tab w:val="left" w:pos="2161"/>
        </w:tabs>
        <w:spacing w:before="120" w:after="240" w:line="240" w:lineRule="auto"/>
        <w:jc w:val="both"/>
        <w:rPr>
          <w:rFonts w:ascii="Times New Roman" w:hAnsi="Times New Roman"/>
          <w:sz w:val="24"/>
          <w:lang w:val="sk-SK"/>
        </w:rPr>
      </w:pPr>
      <w:r w:rsidRPr="00C34D71">
        <w:rPr>
          <w:rFonts w:ascii="Times New Roman" w:hAnsi="Times New Roman"/>
          <w:sz w:val="24"/>
          <w:lang w:val="sk-SK"/>
        </w:rPr>
        <w:fldChar w:fldCharType="begin">
          <w:ffData>
            <w:name w:val="Check1"/>
            <w:enabled/>
            <w:calcOnExit w:val="0"/>
            <w:checkBox>
              <w:sizeAuto/>
              <w:default w:val="0"/>
            </w:checkBox>
          </w:ffData>
        </w:fldChar>
      </w:r>
      <w:r w:rsidRPr="00C34D71">
        <w:rPr>
          <w:rFonts w:ascii="Times New Roman" w:hAnsi="Times New Roman"/>
          <w:sz w:val="24"/>
          <w:lang w:val="sk-SK"/>
        </w:rPr>
        <w:instrText xml:space="preserve"> FORMCHECKBOX </w:instrText>
      </w:r>
      <w:r w:rsidR="00D956D7">
        <w:rPr>
          <w:rFonts w:ascii="Times New Roman" w:hAnsi="Times New Roman"/>
          <w:sz w:val="24"/>
          <w:lang w:val="sk-SK"/>
        </w:rPr>
      </w:r>
      <w:r w:rsidR="00D956D7">
        <w:rPr>
          <w:rFonts w:ascii="Times New Roman" w:hAnsi="Times New Roman"/>
          <w:sz w:val="24"/>
          <w:lang w:val="sk-SK"/>
        </w:rPr>
        <w:fldChar w:fldCharType="separate"/>
      </w:r>
      <w:r w:rsidRPr="00C34D71">
        <w:rPr>
          <w:rFonts w:ascii="Times New Roman" w:hAnsi="Times New Roman"/>
          <w:sz w:val="24"/>
          <w:lang w:val="sk-SK"/>
        </w:rPr>
        <w:fldChar w:fldCharType="end"/>
      </w:r>
      <w:r w:rsidRPr="00C34D71">
        <w:rPr>
          <w:rFonts w:ascii="Times New Roman" w:hAnsi="Times New Roman"/>
          <w:sz w:val="24"/>
          <w:lang w:val="sk-SK"/>
        </w:rPr>
        <w:tab/>
        <w:t>iné. Spresnite:</w:t>
      </w:r>
    </w:p>
    <w:p w:rsidR="00C34D71" w:rsidRPr="00C34D71" w:rsidRDefault="00C34D71" w:rsidP="00C34D71">
      <w:pPr>
        <w:tabs>
          <w:tab w:val="left" w:leader="dot" w:pos="9072"/>
        </w:tabs>
        <w:spacing w:after="0" w:line="240" w:lineRule="auto"/>
        <w:ind w:left="709"/>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tabs>
          <w:tab w:val="left" w:leader="dot" w:pos="9072"/>
        </w:tabs>
        <w:spacing w:after="0" w:line="240" w:lineRule="auto"/>
        <w:ind w:left="709"/>
        <w:contextualSpacing/>
        <w:rPr>
          <w:rFonts w:ascii="Times New Roman" w:hAnsi="Times New Roman"/>
          <w:bCs/>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numPr>
          <w:ilvl w:val="1"/>
          <w:numId w:val="5"/>
        </w:numPr>
        <w:spacing w:before="120" w:after="240" w:line="240" w:lineRule="auto"/>
        <w:jc w:val="both"/>
        <w:rPr>
          <w:rFonts w:ascii="Times New Roman" w:eastAsia="Times New Roman" w:hAnsi="Times New Roman"/>
          <w:sz w:val="24"/>
          <w:szCs w:val="20"/>
          <w:lang w:val="sk-SK"/>
        </w:rPr>
      </w:pPr>
      <w:r w:rsidRPr="00C34D71">
        <w:rPr>
          <w:rFonts w:ascii="Times New Roman" w:eastAsia="Times New Roman" w:hAnsi="Times New Roman"/>
          <w:sz w:val="24"/>
          <w:szCs w:val="20"/>
          <w:lang w:val="sk-SK"/>
        </w:rPr>
        <w:lastRenderedPageBreak/>
        <w:t>Stanovuje sa v notifikovanej schéme pomoci, že sa prevádzková pomoc neposkytne ďalej uvedeným kategóriám podnikov a odvetví? V každom prípade uveďte príslušné ustanovenie právneho základu schémy.</w:t>
      </w:r>
    </w:p>
    <w:p w:rsidR="00C34D71" w:rsidRPr="00C34D71" w:rsidRDefault="00C34D71" w:rsidP="00C34D71">
      <w:pPr>
        <w:spacing w:before="120" w:after="120" w:line="240" w:lineRule="auto"/>
        <w:jc w:val="both"/>
        <w:rPr>
          <w:rFonts w:ascii="Times New Roman" w:hAnsi="Times New Roman"/>
          <w:sz w:val="24"/>
          <w:lang w:val="sk-SK"/>
        </w:rPr>
      </w:pPr>
    </w:p>
    <w:tbl>
      <w:tblPr>
        <w:tblW w:w="860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2"/>
        <w:gridCol w:w="1797"/>
        <w:gridCol w:w="2602"/>
      </w:tblGrid>
      <w:tr w:rsidR="00C34D71" w:rsidRPr="00C34D71" w:rsidTr="00DF3112">
        <w:tc>
          <w:tcPr>
            <w:tcW w:w="4331" w:type="dxa"/>
            <w:shd w:val="clear" w:color="auto" w:fill="auto"/>
            <w:vAlign w:val="center"/>
          </w:tcPr>
          <w:p w:rsidR="00C34D71" w:rsidRPr="00C34D71" w:rsidRDefault="00C34D71" w:rsidP="00C34D71">
            <w:pPr>
              <w:numPr>
                <w:ilvl w:val="2"/>
                <w:numId w:val="0"/>
              </w:numPr>
              <w:tabs>
                <w:tab w:val="num" w:pos="850"/>
              </w:tabs>
              <w:spacing w:before="120" w:after="120" w:line="240" w:lineRule="auto"/>
              <w:ind w:left="284"/>
              <w:rPr>
                <w:rFonts w:ascii="Times New Roman" w:hAnsi="Times New Roman"/>
                <w:b/>
                <w:sz w:val="24"/>
                <w:szCs w:val="24"/>
                <w:lang w:val="sk-SK"/>
              </w:rPr>
            </w:pPr>
            <w:r w:rsidRPr="00C34D71">
              <w:rPr>
                <w:rFonts w:ascii="Times New Roman" w:hAnsi="Times New Roman"/>
                <w:b/>
                <w:sz w:val="24"/>
                <w:lang w:val="sk-SK"/>
              </w:rPr>
              <w:t>Vylúčené kategórie podnikov a odvetví</w:t>
            </w:r>
          </w:p>
        </w:tc>
        <w:tc>
          <w:tcPr>
            <w:tcW w:w="1584" w:type="dxa"/>
            <w:shd w:val="clear" w:color="auto" w:fill="auto"/>
            <w:vAlign w:val="center"/>
          </w:tcPr>
          <w:p w:rsidR="00C34D71" w:rsidRPr="00C34D71" w:rsidRDefault="00C34D71" w:rsidP="00C34D71">
            <w:pPr>
              <w:numPr>
                <w:ilvl w:val="2"/>
                <w:numId w:val="0"/>
              </w:numPr>
              <w:tabs>
                <w:tab w:val="num" w:pos="501"/>
              </w:tabs>
              <w:spacing w:before="120" w:after="120" w:line="240" w:lineRule="auto"/>
              <w:ind w:left="501" w:hanging="1427"/>
              <w:rPr>
                <w:rFonts w:ascii="Times New Roman" w:hAnsi="Times New Roman"/>
                <w:b/>
                <w:sz w:val="24"/>
                <w:lang w:val="sk-SK"/>
              </w:rPr>
            </w:pPr>
            <w:r w:rsidRPr="00C34D71">
              <w:rPr>
                <w:rFonts w:ascii="Times New Roman" w:hAnsi="Times New Roman"/>
                <w:b/>
                <w:sz w:val="24"/>
                <w:lang w:val="sk-SK"/>
              </w:rPr>
              <w:t>Podniky</w:t>
            </w:r>
          </w:p>
          <w:p w:rsidR="00C34D71" w:rsidRPr="00C34D71" w:rsidRDefault="00C34D71" w:rsidP="00DF3112">
            <w:pPr>
              <w:numPr>
                <w:ilvl w:val="2"/>
                <w:numId w:val="0"/>
              </w:numPr>
              <w:tabs>
                <w:tab w:val="num" w:pos="96"/>
              </w:tabs>
              <w:spacing w:before="120" w:after="120" w:line="240" w:lineRule="auto"/>
              <w:ind w:left="501" w:hanging="1427"/>
              <w:rPr>
                <w:rFonts w:ascii="Times New Roman" w:hAnsi="Times New Roman"/>
                <w:b/>
                <w:sz w:val="24"/>
                <w:szCs w:val="24"/>
                <w:lang w:val="sk-SK"/>
              </w:rPr>
            </w:pPr>
            <w:r w:rsidRPr="00C34D71">
              <w:rPr>
                <w:rFonts w:ascii="Times New Roman" w:hAnsi="Times New Roman"/>
                <w:b/>
                <w:sz w:val="24"/>
                <w:lang w:val="sk-SK"/>
              </w:rPr>
              <w:t>v ťažkostiach ťažkostiach</w:t>
            </w:r>
            <w:r w:rsidRPr="00C34D71">
              <w:rPr>
                <w:rFonts w:ascii="Times New Roman" w:hAnsi="Times New Roman"/>
                <w:b/>
                <w:sz w:val="24"/>
                <w:vertAlign w:val="superscript"/>
                <w:lang w:val="sk-SK"/>
              </w:rPr>
              <w:footnoteReference w:id="2"/>
            </w:r>
          </w:p>
        </w:tc>
        <w:tc>
          <w:tcPr>
            <w:tcW w:w="2686" w:type="dxa"/>
            <w:shd w:val="clear" w:color="auto" w:fill="auto"/>
            <w:vAlign w:val="center"/>
          </w:tcPr>
          <w:p w:rsidR="00C34D71" w:rsidRPr="00C34D71" w:rsidRDefault="00C34D71" w:rsidP="00C34D71">
            <w:pPr>
              <w:numPr>
                <w:ilvl w:val="2"/>
                <w:numId w:val="0"/>
              </w:numPr>
              <w:tabs>
                <w:tab w:val="num" w:pos="850"/>
              </w:tabs>
              <w:spacing w:before="120" w:after="120" w:line="240" w:lineRule="auto"/>
              <w:ind w:left="135"/>
              <w:rPr>
                <w:rFonts w:ascii="Times New Roman" w:hAnsi="Times New Roman"/>
                <w:b/>
                <w:sz w:val="24"/>
                <w:szCs w:val="24"/>
                <w:lang w:val="sk-SK"/>
              </w:rPr>
            </w:pPr>
            <w:r w:rsidRPr="00C34D71">
              <w:rPr>
                <w:rFonts w:ascii="Times New Roman" w:hAnsi="Times New Roman"/>
                <w:b/>
                <w:sz w:val="24"/>
                <w:lang w:val="sk-SK"/>
              </w:rPr>
              <w:t>Príslušné ustanovenie právneho základu schémy</w:t>
            </w:r>
          </w:p>
          <w:p w:rsidR="00C34D71" w:rsidRPr="00C34D71" w:rsidRDefault="00C34D71" w:rsidP="00C34D71">
            <w:pPr>
              <w:spacing w:before="120" w:after="120" w:line="240" w:lineRule="auto"/>
              <w:jc w:val="both"/>
              <w:rPr>
                <w:rFonts w:ascii="Times New Roman" w:hAnsi="Times New Roman"/>
                <w:b/>
                <w:sz w:val="24"/>
                <w:lang w:val="sk-SK"/>
              </w:rPr>
            </w:pPr>
          </w:p>
        </w:tc>
      </w:tr>
      <w:tr w:rsidR="00C34D71" w:rsidRPr="00C34D71" w:rsidTr="00DF3112">
        <w:tc>
          <w:tcPr>
            <w:tcW w:w="4331" w:type="dxa"/>
            <w:shd w:val="clear" w:color="auto" w:fill="auto"/>
            <w:vAlign w:val="center"/>
          </w:tcPr>
          <w:p w:rsidR="00C34D71" w:rsidRPr="00C34D71" w:rsidRDefault="00C34D71" w:rsidP="00C34D71">
            <w:pPr>
              <w:numPr>
                <w:ilvl w:val="2"/>
                <w:numId w:val="0"/>
              </w:numPr>
              <w:tabs>
                <w:tab w:val="num" w:pos="142"/>
                <w:tab w:val="num" w:pos="850"/>
              </w:tabs>
              <w:spacing w:before="120" w:after="120" w:line="240" w:lineRule="auto"/>
              <w:ind w:left="284"/>
              <w:rPr>
                <w:rFonts w:ascii="Times New Roman" w:hAnsi="Times New Roman"/>
                <w:sz w:val="24"/>
                <w:szCs w:val="24"/>
                <w:lang w:val="sk-SK"/>
              </w:rPr>
            </w:pPr>
            <w:r w:rsidRPr="00C34D71">
              <w:rPr>
                <w:rFonts w:ascii="Times New Roman" w:hAnsi="Times New Roman"/>
                <w:sz w:val="24"/>
                <w:lang w:val="sk-SK"/>
              </w:rPr>
              <w:t>Oceliarske odvetvie</w:t>
            </w:r>
            <w:r w:rsidRPr="00C34D71">
              <w:rPr>
                <w:rFonts w:ascii="Times New Roman" w:hAnsi="Times New Roman"/>
                <w:sz w:val="24"/>
                <w:vertAlign w:val="superscript"/>
                <w:lang w:val="sk-SK"/>
              </w:rPr>
              <w:footnoteReference w:id="3"/>
            </w:r>
            <w:r w:rsidRPr="00C34D71">
              <w:rPr>
                <w:rFonts w:ascii="Times New Roman" w:hAnsi="Times New Roman"/>
                <w:sz w:val="24"/>
                <w:lang w:val="sk-SK"/>
              </w:rPr>
              <w:t xml:space="preserve"> </w:t>
            </w:r>
          </w:p>
        </w:tc>
        <w:tc>
          <w:tcPr>
            <w:tcW w:w="1584" w:type="dxa"/>
            <w:shd w:val="clear" w:color="auto" w:fill="auto"/>
            <w:vAlign w:val="bottom"/>
          </w:tcPr>
          <w:p w:rsidR="00C34D71" w:rsidRPr="00C34D71" w:rsidRDefault="00C34D71" w:rsidP="00C34D71">
            <w:pPr>
              <w:numPr>
                <w:ilvl w:val="2"/>
                <w:numId w:val="0"/>
              </w:numPr>
              <w:tabs>
                <w:tab w:val="left" w:pos="177"/>
                <w:tab w:val="left" w:pos="726"/>
                <w:tab w:val="num" w:pos="850"/>
              </w:tabs>
              <w:spacing w:before="120" w:after="120" w:line="240" w:lineRule="auto"/>
              <w:ind w:left="789" w:hanging="63"/>
              <w:rPr>
                <w:rFonts w:ascii="Times New Roman" w:hAnsi="Times New Roman"/>
                <w:sz w:val="24"/>
                <w:szCs w:val="24"/>
                <w:lang w:val="sk-SK"/>
              </w:rPr>
            </w:pPr>
            <w:r w:rsidRPr="00C34D71">
              <w:rPr>
                <w:rFonts w:ascii="Times New Roman" w:hAnsi="Times New Roman"/>
                <w:sz w:val="24"/>
                <w:szCs w:val="24"/>
                <w:lang w:val="sk-SK"/>
              </w:rPr>
              <w:fldChar w:fldCharType="begin">
                <w:ffData>
                  <w:name w:val=""/>
                  <w:enabled/>
                  <w:calcOnExit w:val="0"/>
                  <w:checkBox>
                    <w:sizeAuto/>
                    <w:default w:val="0"/>
                  </w:checkBox>
                </w:ffData>
              </w:fldChar>
            </w:r>
            <w:r w:rsidRPr="00C34D71">
              <w:rPr>
                <w:rFonts w:ascii="Times New Roman" w:hAnsi="Times New Roman"/>
                <w:sz w:val="24"/>
                <w:szCs w:val="24"/>
                <w:lang w:val="sk-SK"/>
              </w:rPr>
              <w:instrText xml:space="preserve"> FORMCHECKBOX </w:instrText>
            </w:r>
            <w:r w:rsidR="00D956D7">
              <w:rPr>
                <w:rFonts w:ascii="Times New Roman" w:hAnsi="Times New Roman"/>
                <w:sz w:val="24"/>
                <w:szCs w:val="24"/>
                <w:lang w:val="sk-SK"/>
              </w:rPr>
            </w:r>
            <w:r w:rsidR="00D956D7">
              <w:rPr>
                <w:rFonts w:ascii="Times New Roman" w:hAnsi="Times New Roman"/>
                <w:sz w:val="24"/>
                <w:szCs w:val="24"/>
                <w:lang w:val="sk-SK"/>
              </w:rPr>
              <w:fldChar w:fldCharType="separate"/>
            </w:r>
            <w:r w:rsidRPr="00C34D71">
              <w:rPr>
                <w:rFonts w:ascii="Times New Roman" w:hAnsi="Times New Roman"/>
                <w:sz w:val="24"/>
                <w:szCs w:val="24"/>
                <w:lang w:val="sk-SK"/>
              </w:rPr>
              <w:fldChar w:fldCharType="end"/>
            </w:r>
            <w:r w:rsidRPr="00C34D71">
              <w:rPr>
                <w:rFonts w:ascii="Times New Roman" w:hAnsi="Times New Roman"/>
                <w:sz w:val="24"/>
                <w:lang w:val="sk-SK"/>
              </w:rPr>
              <w:t xml:space="preserve"> áno</w:t>
            </w:r>
          </w:p>
        </w:tc>
        <w:tc>
          <w:tcPr>
            <w:tcW w:w="2686" w:type="dxa"/>
            <w:shd w:val="clear" w:color="auto" w:fill="auto"/>
            <w:vAlign w:val="center"/>
          </w:tcPr>
          <w:p w:rsidR="00C34D71" w:rsidRPr="00C34D71" w:rsidRDefault="00C34D71" w:rsidP="00C34D71">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C34D71" w:rsidRPr="00C34D71" w:rsidTr="00DF3112">
        <w:tc>
          <w:tcPr>
            <w:tcW w:w="4331" w:type="dxa"/>
            <w:shd w:val="clear" w:color="auto" w:fill="auto"/>
            <w:vAlign w:val="center"/>
          </w:tcPr>
          <w:p w:rsidR="00C34D71" w:rsidRPr="00C34D71" w:rsidRDefault="00C34D71" w:rsidP="00C34D71">
            <w:pPr>
              <w:numPr>
                <w:ilvl w:val="2"/>
                <w:numId w:val="0"/>
              </w:numPr>
              <w:tabs>
                <w:tab w:val="num" w:pos="142"/>
                <w:tab w:val="num" w:pos="850"/>
              </w:tabs>
              <w:spacing w:before="120" w:after="120" w:line="240" w:lineRule="auto"/>
              <w:ind w:left="284"/>
              <w:rPr>
                <w:rFonts w:ascii="Times New Roman" w:hAnsi="Times New Roman"/>
                <w:sz w:val="24"/>
                <w:szCs w:val="24"/>
                <w:lang w:val="sk-SK"/>
              </w:rPr>
            </w:pPr>
            <w:r w:rsidRPr="00C34D71">
              <w:rPr>
                <w:rFonts w:ascii="Times New Roman" w:hAnsi="Times New Roman"/>
                <w:sz w:val="24"/>
                <w:lang w:val="sk-SK"/>
              </w:rPr>
              <w:t>Odvetvie syntetických vlákien</w:t>
            </w:r>
            <w:r w:rsidRPr="00C34D71">
              <w:rPr>
                <w:rFonts w:ascii="Times New Roman" w:hAnsi="Times New Roman"/>
                <w:sz w:val="24"/>
                <w:vertAlign w:val="superscript"/>
                <w:lang w:val="sk-SK"/>
              </w:rPr>
              <w:footnoteReference w:id="4"/>
            </w:r>
          </w:p>
        </w:tc>
        <w:tc>
          <w:tcPr>
            <w:tcW w:w="1584" w:type="dxa"/>
            <w:shd w:val="clear" w:color="auto" w:fill="auto"/>
            <w:vAlign w:val="bottom"/>
          </w:tcPr>
          <w:p w:rsidR="00C34D71" w:rsidRPr="00C34D71" w:rsidRDefault="00C34D71" w:rsidP="00C34D71">
            <w:pPr>
              <w:numPr>
                <w:ilvl w:val="2"/>
                <w:numId w:val="0"/>
              </w:numPr>
              <w:tabs>
                <w:tab w:val="left" w:pos="726"/>
                <w:tab w:val="num" w:pos="850"/>
              </w:tabs>
              <w:spacing w:before="120" w:after="120" w:line="240" w:lineRule="auto"/>
              <w:ind w:left="726"/>
              <w:rPr>
                <w:rFonts w:ascii="Times New Roman" w:hAnsi="Times New Roman"/>
                <w:sz w:val="24"/>
                <w:szCs w:val="24"/>
                <w:lang w:val="sk-SK"/>
              </w:rPr>
            </w:pPr>
            <w:r w:rsidRPr="00C34D71">
              <w:rPr>
                <w:rFonts w:ascii="Times New Roman" w:hAnsi="Times New Roman"/>
                <w:sz w:val="24"/>
                <w:szCs w:val="24"/>
                <w:lang w:val="sk-SK"/>
              </w:rPr>
              <w:fldChar w:fldCharType="begin">
                <w:ffData>
                  <w:name w:val="Check1"/>
                  <w:enabled/>
                  <w:calcOnExit w:val="0"/>
                  <w:checkBox>
                    <w:sizeAuto/>
                    <w:default w:val="0"/>
                  </w:checkBox>
                </w:ffData>
              </w:fldChar>
            </w:r>
            <w:r w:rsidRPr="00C34D71">
              <w:rPr>
                <w:rFonts w:ascii="Times New Roman" w:hAnsi="Times New Roman"/>
                <w:sz w:val="24"/>
                <w:szCs w:val="24"/>
                <w:lang w:val="sk-SK"/>
              </w:rPr>
              <w:instrText xml:space="preserve"> FORMCHECKBOX </w:instrText>
            </w:r>
            <w:r w:rsidR="00D956D7">
              <w:rPr>
                <w:rFonts w:ascii="Times New Roman" w:hAnsi="Times New Roman"/>
                <w:sz w:val="24"/>
                <w:szCs w:val="24"/>
                <w:lang w:val="sk-SK"/>
              </w:rPr>
            </w:r>
            <w:r w:rsidR="00D956D7">
              <w:rPr>
                <w:rFonts w:ascii="Times New Roman" w:hAnsi="Times New Roman"/>
                <w:sz w:val="24"/>
                <w:szCs w:val="24"/>
                <w:lang w:val="sk-SK"/>
              </w:rPr>
              <w:fldChar w:fldCharType="separate"/>
            </w:r>
            <w:r w:rsidRPr="00C34D71">
              <w:rPr>
                <w:rFonts w:ascii="Times New Roman" w:hAnsi="Times New Roman"/>
                <w:sz w:val="24"/>
                <w:szCs w:val="24"/>
                <w:lang w:val="sk-SK"/>
              </w:rPr>
              <w:fldChar w:fldCharType="end"/>
            </w:r>
            <w:r w:rsidRPr="00C34D71">
              <w:rPr>
                <w:rFonts w:ascii="Times New Roman" w:hAnsi="Times New Roman"/>
                <w:sz w:val="24"/>
                <w:lang w:val="sk-SK"/>
              </w:rPr>
              <w:t xml:space="preserve"> áno</w:t>
            </w:r>
          </w:p>
        </w:tc>
        <w:tc>
          <w:tcPr>
            <w:tcW w:w="2686" w:type="dxa"/>
            <w:shd w:val="clear" w:color="auto" w:fill="auto"/>
            <w:vAlign w:val="center"/>
          </w:tcPr>
          <w:p w:rsidR="00C34D71" w:rsidRPr="00C34D71" w:rsidRDefault="00C34D71" w:rsidP="00C34D71">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C34D71" w:rsidRPr="00C34D71" w:rsidTr="00DF3112">
        <w:tc>
          <w:tcPr>
            <w:tcW w:w="4331" w:type="dxa"/>
            <w:shd w:val="clear" w:color="auto" w:fill="auto"/>
            <w:vAlign w:val="center"/>
          </w:tcPr>
          <w:p w:rsidR="00C34D71" w:rsidRPr="00C34D71" w:rsidRDefault="00C34D71" w:rsidP="00C34D71">
            <w:pPr>
              <w:numPr>
                <w:ilvl w:val="2"/>
                <w:numId w:val="0"/>
              </w:numPr>
              <w:tabs>
                <w:tab w:val="num" w:pos="142"/>
                <w:tab w:val="num" w:pos="850"/>
              </w:tabs>
              <w:spacing w:before="120" w:after="120" w:line="240" w:lineRule="auto"/>
              <w:ind w:left="284"/>
              <w:rPr>
                <w:rFonts w:ascii="Times New Roman" w:hAnsi="Times New Roman"/>
                <w:sz w:val="24"/>
                <w:szCs w:val="24"/>
                <w:lang w:val="sk-SK"/>
              </w:rPr>
            </w:pPr>
            <w:r w:rsidRPr="00C34D71">
              <w:rPr>
                <w:rFonts w:ascii="Times New Roman" w:hAnsi="Times New Roman"/>
                <w:sz w:val="24"/>
                <w:lang w:val="sk-SK"/>
              </w:rPr>
              <w:t>Výroba poľnohospodárskych výrobkov uvedených v prílohe I k ZFEÚ</w:t>
            </w:r>
          </w:p>
        </w:tc>
        <w:tc>
          <w:tcPr>
            <w:tcW w:w="1584" w:type="dxa"/>
            <w:shd w:val="clear" w:color="auto" w:fill="auto"/>
            <w:vAlign w:val="bottom"/>
          </w:tcPr>
          <w:p w:rsidR="00C34D71" w:rsidRPr="00C34D71" w:rsidRDefault="00C34D71" w:rsidP="00C34D71">
            <w:pPr>
              <w:numPr>
                <w:ilvl w:val="2"/>
                <w:numId w:val="0"/>
              </w:numPr>
              <w:tabs>
                <w:tab w:val="num" w:pos="850"/>
              </w:tabs>
              <w:spacing w:before="120" w:after="120" w:line="240" w:lineRule="auto"/>
              <w:ind w:left="1200" w:hanging="474"/>
              <w:rPr>
                <w:rFonts w:ascii="Times New Roman" w:hAnsi="Times New Roman"/>
                <w:sz w:val="24"/>
                <w:szCs w:val="24"/>
                <w:lang w:val="sk-SK"/>
              </w:rPr>
            </w:pPr>
            <w:r w:rsidRPr="00C34D71">
              <w:rPr>
                <w:rFonts w:ascii="Times New Roman" w:hAnsi="Times New Roman"/>
                <w:sz w:val="24"/>
                <w:szCs w:val="24"/>
                <w:lang w:val="sk-SK"/>
              </w:rPr>
              <w:fldChar w:fldCharType="begin">
                <w:ffData>
                  <w:name w:val="Check1"/>
                  <w:enabled/>
                  <w:calcOnExit w:val="0"/>
                  <w:checkBox>
                    <w:sizeAuto/>
                    <w:default w:val="0"/>
                  </w:checkBox>
                </w:ffData>
              </w:fldChar>
            </w:r>
            <w:r w:rsidRPr="00C34D71">
              <w:rPr>
                <w:rFonts w:ascii="Times New Roman" w:hAnsi="Times New Roman"/>
                <w:sz w:val="24"/>
                <w:szCs w:val="24"/>
                <w:lang w:val="sk-SK"/>
              </w:rPr>
              <w:instrText xml:space="preserve"> FORMCHECKBOX </w:instrText>
            </w:r>
            <w:r w:rsidR="00D956D7">
              <w:rPr>
                <w:rFonts w:ascii="Times New Roman" w:hAnsi="Times New Roman"/>
                <w:sz w:val="24"/>
                <w:szCs w:val="24"/>
                <w:lang w:val="sk-SK"/>
              </w:rPr>
            </w:r>
            <w:r w:rsidR="00D956D7">
              <w:rPr>
                <w:rFonts w:ascii="Times New Roman" w:hAnsi="Times New Roman"/>
                <w:sz w:val="24"/>
                <w:szCs w:val="24"/>
                <w:lang w:val="sk-SK"/>
              </w:rPr>
              <w:fldChar w:fldCharType="separate"/>
            </w:r>
            <w:r w:rsidRPr="00C34D71">
              <w:rPr>
                <w:rFonts w:ascii="Times New Roman" w:hAnsi="Times New Roman"/>
                <w:sz w:val="24"/>
                <w:szCs w:val="24"/>
                <w:lang w:val="sk-SK"/>
              </w:rPr>
              <w:fldChar w:fldCharType="end"/>
            </w:r>
            <w:r w:rsidRPr="00C34D71">
              <w:rPr>
                <w:rFonts w:ascii="Times New Roman" w:hAnsi="Times New Roman"/>
                <w:sz w:val="24"/>
                <w:lang w:val="sk-SK"/>
              </w:rPr>
              <w:t xml:space="preserve"> áno</w:t>
            </w:r>
          </w:p>
        </w:tc>
        <w:tc>
          <w:tcPr>
            <w:tcW w:w="2686" w:type="dxa"/>
            <w:shd w:val="clear" w:color="auto" w:fill="auto"/>
            <w:vAlign w:val="center"/>
          </w:tcPr>
          <w:p w:rsidR="00C34D71" w:rsidRPr="00C34D71" w:rsidRDefault="00C34D71" w:rsidP="00C34D71">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C34D71" w:rsidRPr="00C34D71" w:rsidTr="00DF3112">
        <w:tc>
          <w:tcPr>
            <w:tcW w:w="4331" w:type="dxa"/>
            <w:shd w:val="clear" w:color="auto" w:fill="auto"/>
            <w:vAlign w:val="center"/>
          </w:tcPr>
          <w:p w:rsidR="00C34D71" w:rsidRPr="00C34D71" w:rsidRDefault="00C34D71" w:rsidP="00C34D71">
            <w:pPr>
              <w:numPr>
                <w:ilvl w:val="2"/>
                <w:numId w:val="0"/>
              </w:numPr>
              <w:tabs>
                <w:tab w:val="num" w:pos="142"/>
                <w:tab w:val="num" w:pos="850"/>
              </w:tabs>
              <w:spacing w:before="120" w:after="120" w:line="240" w:lineRule="auto"/>
              <w:ind w:left="284"/>
              <w:rPr>
                <w:rFonts w:ascii="Times New Roman" w:hAnsi="Times New Roman"/>
                <w:sz w:val="24"/>
                <w:szCs w:val="24"/>
                <w:lang w:val="sk-SK"/>
              </w:rPr>
            </w:pPr>
            <w:r w:rsidRPr="00C34D71">
              <w:rPr>
                <w:rFonts w:ascii="Times New Roman" w:hAnsi="Times New Roman"/>
                <w:sz w:val="24"/>
                <w:lang w:val="sk-SK"/>
              </w:rPr>
              <w:t>Spracovanie a/alebo uvádzanie na trh poľnohospodárskych výrobkov uvedených v prílohe I k ZFEÚ</w:t>
            </w:r>
            <w:r w:rsidRPr="00C34D71">
              <w:rPr>
                <w:rFonts w:ascii="Times New Roman" w:hAnsi="Times New Roman"/>
                <w:sz w:val="24"/>
                <w:vertAlign w:val="superscript"/>
                <w:lang w:val="sk-SK"/>
              </w:rPr>
              <w:footnoteReference w:id="5"/>
            </w:r>
            <w:r w:rsidRPr="00C34D71">
              <w:rPr>
                <w:rFonts w:ascii="Times New Roman" w:hAnsi="Times New Roman"/>
                <w:sz w:val="24"/>
                <w:lang w:val="sk-SK"/>
              </w:rPr>
              <w:t xml:space="preserve"> na výrobky uvedené v tej prílohe I</w:t>
            </w:r>
          </w:p>
        </w:tc>
        <w:tc>
          <w:tcPr>
            <w:tcW w:w="1584" w:type="dxa"/>
            <w:shd w:val="clear" w:color="auto" w:fill="auto"/>
            <w:vAlign w:val="bottom"/>
          </w:tcPr>
          <w:p w:rsidR="00C34D71" w:rsidRPr="00C34D71" w:rsidRDefault="00C34D71" w:rsidP="00C34D71">
            <w:pPr>
              <w:numPr>
                <w:ilvl w:val="2"/>
                <w:numId w:val="0"/>
              </w:numPr>
              <w:tabs>
                <w:tab w:val="num" w:pos="850"/>
              </w:tabs>
              <w:spacing w:before="120" w:after="120" w:line="240" w:lineRule="auto"/>
              <w:ind w:left="1200" w:hanging="474"/>
              <w:rPr>
                <w:rFonts w:ascii="Times New Roman" w:hAnsi="Times New Roman"/>
                <w:sz w:val="24"/>
                <w:szCs w:val="24"/>
                <w:lang w:val="sk-SK"/>
              </w:rPr>
            </w:pPr>
            <w:r w:rsidRPr="00C34D71">
              <w:rPr>
                <w:rFonts w:ascii="Times New Roman" w:hAnsi="Times New Roman"/>
                <w:sz w:val="24"/>
                <w:szCs w:val="24"/>
                <w:lang w:val="sk-SK"/>
              </w:rPr>
              <w:fldChar w:fldCharType="begin">
                <w:ffData>
                  <w:name w:val="Check1"/>
                  <w:enabled/>
                  <w:calcOnExit w:val="0"/>
                  <w:checkBox>
                    <w:sizeAuto/>
                    <w:default w:val="0"/>
                  </w:checkBox>
                </w:ffData>
              </w:fldChar>
            </w:r>
            <w:r w:rsidRPr="00C34D71">
              <w:rPr>
                <w:rFonts w:ascii="Times New Roman" w:hAnsi="Times New Roman"/>
                <w:sz w:val="24"/>
                <w:szCs w:val="24"/>
                <w:lang w:val="sk-SK"/>
              </w:rPr>
              <w:instrText xml:space="preserve"> FORMCHECKBOX </w:instrText>
            </w:r>
            <w:r w:rsidR="00D956D7">
              <w:rPr>
                <w:rFonts w:ascii="Times New Roman" w:hAnsi="Times New Roman"/>
                <w:sz w:val="24"/>
                <w:szCs w:val="24"/>
                <w:lang w:val="sk-SK"/>
              </w:rPr>
            </w:r>
            <w:r w:rsidR="00D956D7">
              <w:rPr>
                <w:rFonts w:ascii="Times New Roman" w:hAnsi="Times New Roman"/>
                <w:sz w:val="24"/>
                <w:szCs w:val="24"/>
                <w:lang w:val="sk-SK"/>
              </w:rPr>
              <w:fldChar w:fldCharType="separate"/>
            </w:r>
            <w:r w:rsidRPr="00C34D71">
              <w:rPr>
                <w:rFonts w:ascii="Times New Roman" w:hAnsi="Times New Roman"/>
                <w:sz w:val="24"/>
                <w:szCs w:val="24"/>
                <w:lang w:val="sk-SK"/>
              </w:rPr>
              <w:fldChar w:fldCharType="end"/>
            </w:r>
            <w:r w:rsidRPr="00C34D71">
              <w:rPr>
                <w:rFonts w:ascii="Times New Roman" w:hAnsi="Times New Roman"/>
                <w:sz w:val="24"/>
                <w:lang w:val="sk-SK"/>
              </w:rPr>
              <w:t xml:space="preserve"> áno</w:t>
            </w:r>
          </w:p>
        </w:tc>
        <w:tc>
          <w:tcPr>
            <w:tcW w:w="2686" w:type="dxa"/>
            <w:shd w:val="clear" w:color="auto" w:fill="auto"/>
            <w:vAlign w:val="center"/>
          </w:tcPr>
          <w:p w:rsidR="00C34D71" w:rsidRPr="00C34D71" w:rsidRDefault="00C34D71" w:rsidP="00C34D71">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C34D71" w:rsidRPr="00C34D71" w:rsidTr="00DF3112">
        <w:tc>
          <w:tcPr>
            <w:tcW w:w="4331" w:type="dxa"/>
            <w:shd w:val="clear" w:color="auto" w:fill="auto"/>
            <w:vAlign w:val="center"/>
          </w:tcPr>
          <w:p w:rsidR="00C34D71" w:rsidRPr="00C34D71" w:rsidRDefault="00C34D71" w:rsidP="00C34D71">
            <w:pPr>
              <w:numPr>
                <w:ilvl w:val="2"/>
                <w:numId w:val="0"/>
              </w:numPr>
              <w:tabs>
                <w:tab w:val="num" w:pos="142"/>
                <w:tab w:val="num" w:pos="850"/>
              </w:tabs>
              <w:spacing w:before="120" w:after="120" w:line="240" w:lineRule="auto"/>
              <w:ind w:left="284"/>
              <w:rPr>
                <w:rFonts w:ascii="Times New Roman" w:hAnsi="Times New Roman"/>
                <w:sz w:val="24"/>
                <w:szCs w:val="24"/>
                <w:lang w:val="sk-SK"/>
              </w:rPr>
            </w:pPr>
            <w:r w:rsidRPr="00C34D71">
              <w:rPr>
                <w:rFonts w:ascii="Times New Roman" w:hAnsi="Times New Roman"/>
                <w:sz w:val="24"/>
                <w:lang w:val="sk-SK"/>
              </w:rPr>
              <w:lastRenderedPageBreak/>
              <w:t>Výroba, spracovanie a/alebo uvádzanie na trh výrobkov rybolovu a akvakultúry uvedených v prílohe I k ZFEÚ</w:t>
            </w:r>
          </w:p>
        </w:tc>
        <w:tc>
          <w:tcPr>
            <w:tcW w:w="1584" w:type="dxa"/>
            <w:shd w:val="clear" w:color="auto" w:fill="auto"/>
            <w:vAlign w:val="bottom"/>
          </w:tcPr>
          <w:p w:rsidR="00C34D71" w:rsidRPr="00C34D71" w:rsidRDefault="00C34D71" w:rsidP="00C34D71">
            <w:pPr>
              <w:numPr>
                <w:ilvl w:val="2"/>
                <w:numId w:val="0"/>
              </w:numPr>
              <w:tabs>
                <w:tab w:val="num" w:pos="850"/>
              </w:tabs>
              <w:spacing w:before="120" w:after="120" w:line="240" w:lineRule="auto"/>
              <w:ind w:left="726" w:hanging="141"/>
              <w:rPr>
                <w:rFonts w:ascii="Times New Roman" w:hAnsi="Times New Roman"/>
                <w:sz w:val="24"/>
                <w:szCs w:val="24"/>
                <w:lang w:val="sk-SK"/>
              </w:rPr>
            </w:pPr>
            <w:r w:rsidRPr="00C34D71">
              <w:rPr>
                <w:rFonts w:ascii="Times New Roman" w:hAnsi="Times New Roman"/>
                <w:sz w:val="24"/>
                <w:szCs w:val="24"/>
                <w:lang w:val="sk-SK"/>
              </w:rPr>
              <w:fldChar w:fldCharType="begin">
                <w:ffData>
                  <w:name w:val="Check1"/>
                  <w:enabled/>
                  <w:calcOnExit w:val="0"/>
                  <w:checkBox>
                    <w:sizeAuto/>
                    <w:default w:val="0"/>
                  </w:checkBox>
                </w:ffData>
              </w:fldChar>
            </w:r>
            <w:r w:rsidRPr="00C34D71">
              <w:rPr>
                <w:rFonts w:ascii="Times New Roman" w:hAnsi="Times New Roman"/>
                <w:sz w:val="24"/>
                <w:szCs w:val="24"/>
                <w:lang w:val="sk-SK"/>
              </w:rPr>
              <w:instrText xml:space="preserve"> FORMCHECKBOX </w:instrText>
            </w:r>
            <w:r w:rsidR="00D956D7">
              <w:rPr>
                <w:rFonts w:ascii="Times New Roman" w:hAnsi="Times New Roman"/>
                <w:sz w:val="24"/>
                <w:szCs w:val="24"/>
                <w:lang w:val="sk-SK"/>
              </w:rPr>
            </w:r>
            <w:r w:rsidR="00D956D7">
              <w:rPr>
                <w:rFonts w:ascii="Times New Roman" w:hAnsi="Times New Roman"/>
                <w:sz w:val="24"/>
                <w:szCs w:val="24"/>
                <w:lang w:val="sk-SK"/>
              </w:rPr>
              <w:fldChar w:fldCharType="separate"/>
            </w:r>
            <w:r w:rsidRPr="00C34D71">
              <w:rPr>
                <w:rFonts w:ascii="Times New Roman" w:hAnsi="Times New Roman"/>
                <w:sz w:val="24"/>
                <w:szCs w:val="24"/>
                <w:lang w:val="sk-SK"/>
              </w:rPr>
              <w:fldChar w:fldCharType="end"/>
            </w:r>
            <w:r w:rsidRPr="00C34D71">
              <w:rPr>
                <w:rFonts w:ascii="Times New Roman" w:hAnsi="Times New Roman"/>
                <w:sz w:val="24"/>
                <w:lang w:val="sk-SK"/>
              </w:rPr>
              <w:t xml:space="preserve"> áno</w:t>
            </w:r>
          </w:p>
        </w:tc>
        <w:tc>
          <w:tcPr>
            <w:tcW w:w="2686" w:type="dxa"/>
            <w:shd w:val="clear" w:color="auto" w:fill="auto"/>
            <w:vAlign w:val="center"/>
          </w:tcPr>
          <w:p w:rsidR="00C34D71" w:rsidRPr="00C34D71" w:rsidRDefault="00C34D71" w:rsidP="00C34D71">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C34D71" w:rsidRPr="00C34D71" w:rsidTr="00DF3112">
        <w:tc>
          <w:tcPr>
            <w:tcW w:w="4331" w:type="dxa"/>
            <w:shd w:val="clear" w:color="auto" w:fill="auto"/>
            <w:vAlign w:val="center"/>
          </w:tcPr>
          <w:p w:rsidR="00C34D71" w:rsidRPr="00C34D71" w:rsidRDefault="00C34D71" w:rsidP="00C34D71">
            <w:pPr>
              <w:numPr>
                <w:ilvl w:val="2"/>
                <w:numId w:val="0"/>
              </w:numPr>
              <w:tabs>
                <w:tab w:val="num" w:pos="142"/>
                <w:tab w:val="num" w:pos="850"/>
              </w:tabs>
              <w:spacing w:before="120" w:after="120" w:line="240" w:lineRule="auto"/>
              <w:ind w:left="284"/>
              <w:rPr>
                <w:rFonts w:ascii="Times New Roman" w:hAnsi="Times New Roman"/>
                <w:sz w:val="24"/>
                <w:szCs w:val="24"/>
                <w:lang w:val="sk-SK"/>
              </w:rPr>
            </w:pPr>
            <w:r w:rsidRPr="00C34D71">
              <w:rPr>
                <w:rFonts w:ascii="Times New Roman" w:hAnsi="Times New Roman"/>
                <w:sz w:val="24"/>
                <w:lang w:val="sk-SK"/>
              </w:rPr>
              <w:t>Odvetvie dopravy</w:t>
            </w:r>
          </w:p>
        </w:tc>
        <w:tc>
          <w:tcPr>
            <w:tcW w:w="1584" w:type="dxa"/>
            <w:shd w:val="clear" w:color="auto" w:fill="auto"/>
            <w:vAlign w:val="bottom"/>
          </w:tcPr>
          <w:p w:rsidR="00C34D71" w:rsidRPr="00C34D71" w:rsidRDefault="00C34D71" w:rsidP="00C34D71">
            <w:pPr>
              <w:numPr>
                <w:ilvl w:val="2"/>
                <w:numId w:val="0"/>
              </w:numPr>
              <w:tabs>
                <w:tab w:val="num" w:pos="850"/>
              </w:tabs>
              <w:spacing w:before="120" w:after="120" w:line="240" w:lineRule="auto"/>
              <w:ind w:left="1200" w:hanging="615"/>
              <w:rPr>
                <w:rFonts w:ascii="Times New Roman" w:hAnsi="Times New Roman"/>
                <w:sz w:val="24"/>
                <w:szCs w:val="24"/>
                <w:lang w:val="sk-SK"/>
              </w:rPr>
            </w:pPr>
            <w:r w:rsidRPr="00C34D71">
              <w:rPr>
                <w:rFonts w:ascii="Times New Roman" w:hAnsi="Times New Roman"/>
                <w:sz w:val="24"/>
                <w:szCs w:val="24"/>
                <w:lang w:val="sk-SK"/>
              </w:rPr>
              <w:fldChar w:fldCharType="begin">
                <w:ffData>
                  <w:name w:val="Check1"/>
                  <w:enabled/>
                  <w:calcOnExit w:val="0"/>
                  <w:checkBox>
                    <w:sizeAuto/>
                    <w:default w:val="0"/>
                  </w:checkBox>
                </w:ffData>
              </w:fldChar>
            </w:r>
            <w:r w:rsidRPr="00C34D71">
              <w:rPr>
                <w:rFonts w:ascii="Times New Roman" w:hAnsi="Times New Roman"/>
                <w:sz w:val="24"/>
                <w:szCs w:val="24"/>
                <w:lang w:val="sk-SK"/>
              </w:rPr>
              <w:instrText xml:space="preserve"> FORMCHECKBOX </w:instrText>
            </w:r>
            <w:r w:rsidR="00D956D7">
              <w:rPr>
                <w:rFonts w:ascii="Times New Roman" w:hAnsi="Times New Roman"/>
                <w:sz w:val="24"/>
                <w:szCs w:val="24"/>
                <w:lang w:val="sk-SK"/>
              </w:rPr>
            </w:r>
            <w:r w:rsidR="00D956D7">
              <w:rPr>
                <w:rFonts w:ascii="Times New Roman" w:hAnsi="Times New Roman"/>
                <w:sz w:val="24"/>
                <w:szCs w:val="24"/>
                <w:lang w:val="sk-SK"/>
              </w:rPr>
              <w:fldChar w:fldCharType="separate"/>
            </w:r>
            <w:r w:rsidRPr="00C34D71">
              <w:rPr>
                <w:rFonts w:ascii="Times New Roman" w:hAnsi="Times New Roman"/>
                <w:sz w:val="24"/>
                <w:szCs w:val="24"/>
                <w:lang w:val="sk-SK"/>
              </w:rPr>
              <w:fldChar w:fldCharType="end"/>
            </w:r>
            <w:r w:rsidRPr="00C34D71">
              <w:rPr>
                <w:rFonts w:ascii="Times New Roman" w:hAnsi="Times New Roman"/>
                <w:sz w:val="24"/>
                <w:lang w:val="sk-SK"/>
              </w:rPr>
              <w:t xml:space="preserve"> áno</w:t>
            </w:r>
          </w:p>
        </w:tc>
        <w:tc>
          <w:tcPr>
            <w:tcW w:w="2686" w:type="dxa"/>
            <w:shd w:val="clear" w:color="auto" w:fill="auto"/>
            <w:vAlign w:val="center"/>
          </w:tcPr>
          <w:p w:rsidR="00C34D71" w:rsidRPr="00C34D71" w:rsidRDefault="00C34D71" w:rsidP="00C34D71">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C34D71" w:rsidRPr="00C34D71" w:rsidTr="00DF3112">
        <w:tc>
          <w:tcPr>
            <w:tcW w:w="4331" w:type="dxa"/>
            <w:shd w:val="clear" w:color="auto" w:fill="auto"/>
            <w:vAlign w:val="center"/>
          </w:tcPr>
          <w:p w:rsidR="00C34D71" w:rsidRPr="00C34D71" w:rsidRDefault="00C34D71" w:rsidP="00C34D71">
            <w:pPr>
              <w:numPr>
                <w:ilvl w:val="2"/>
                <w:numId w:val="0"/>
              </w:numPr>
              <w:tabs>
                <w:tab w:val="num" w:pos="142"/>
                <w:tab w:val="num" w:pos="850"/>
              </w:tabs>
              <w:spacing w:before="120" w:after="120" w:line="240" w:lineRule="auto"/>
              <w:ind w:left="284"/>
              <w:rPr>
                <w:rFonts w:ascii="Times New Roman" w:hAnsi="Times New Roman"/>
                <w:sz w:val="24"/>
                <w:szCs w:val="24"/>
                <w:lang w:val="sk-SK"/>
              </w:rPr>
            </w:pPr>
            <w:r w:rsidRPr="00C34D71">
              <w:rPr>
                <w:rFonts w:ascii="Times New Roman" w:hAnsi="Times New Roman"/>
                <w:sz w:val="24"/>
                <w:lang w:val="sk-SK"/>
              </w:rPr>
              <w:t>Odvetvie energetiky</w:t>
            </w:r>
          </w:p>
        </w:tc>
        <w:tc>
          <w:tcPr>
            <w:tcW w:w="1584" w:type="dxa"/>
            <w:shd w:val="clear" w:color="auto" w:fill="auto"/>
            <w:vAlign w:val="bottom"/>
          </w:tcPr>
          <w:p w:rsidR="00C34D71" w:rsidRPr="00C34D71" w:rsidRDefault="00C34D71" w:rsidP="00C34D71">
            <w:pPr>
              <w:numPr>
                <w:ilvl w:val="2"/>
                <w:numId w:val="0"/>
              </w:numPr>
              <w:tabs>
                <w:tab w:val="num" w:pos="850"/>
              </w:tabs>
              <w:spacing w:before="120" w:after="120" w:line="240" w:lineRule="auto"/>
              <w:ind w:left="1200" w:hanging="615"/>
              <w:rPr>
                <w:rFonts w:ascii="Times New Roman" w:hAnsi="Times New Roman"/>
                <w:sz w:val="24"/>
                <w:szCs w:val="24"/>
                <w:lang w:val="sk-SK"/>
              </w:rPr>
            </w:pPr>
            <w:r w:rsidRPr="00C34D71">
              <w:rPr>
                <w:rFonts w:ascii="Times New Roman" w:hAnsi="Times New Roman"/>
                <w:sz w:val="24"/>
                <w:szCs w:val="24"/>
                <w:lang w:val="sk-SK"/>
              </w:rPr>
              <w:fldChar w:fldCharType="begin">
                <w:ffData>
                  <w:name w:val="Check1"/>
                  <w:enabled/>
                  <w:calcOnExit w:val="0"/>
                  <w:checkBox>
                    <w:sizeAuto/>
                    <w:default w:val="0"/>
                  </w:checkBox>
                </w:ffData>
              </w:fldChar>
            </w:r>
            <w:r w:rsidRPr="00C34D71">
              <w:rPr>
                <w:rFonts w:ascii="Times New Roman" w:hAnsi="Times New Roman"/>
                <w:sz w:val="24"/>
                <w:szCs w:val="24"/>
                <w:lang w:val="sk-SK"/>
              </w:rPr>
              <w:instrText xml:space="preserve"> FORMCHECKBOX </w:instrText>
            </w:r>
            <w:r w:rsidR="00D956D7">
              <w:rPr>
                <w:rFonts w:ascii="Times New Roman" w:hAnsi="Times New Roman"/>
                <w:sz w:val="24"/>
                <w:szCs w:val="24"/>
                <w:lang w:val="sk-SK"/>
              </w:rPr>
            </w:r>
            <w:r w:rsidR="00D956D7">
              <w:rPr>
                <w:rFonts w:ascii="Times New Roman" w:hAnsi="Times New Roman"/>
                <w:sz w:val="24"/>
                <w:szCs w:val="24"/>
                <w:lang w:val="sk-SK"/>
              </w:rPr>
              <w:fldChar w:fldCharType="separate"/>
            </w:r>
            <w:r w:rsidRPr="00C34D71">
              <w:rPr>
                <w:rFonts w:ascii="Times New Roman" w:hAnsi="Times New Roman"/>
                <w:sz w:val="24"/>
                <w:szCs w:val="24"/>
                <w:lang w:val="sk-SK"/>
              </w:rPr>
              <w:fldChar w:fldCharType="end"/>
            </w:r>
            <w:r w:rsidRPr="00C34D71">
              <w:rPr>
                <w:rFonts w:ascii="Times New Roman" w:hAnsi="Times New Roman"/>
                <w:sz w:val="24"/>
                <w:lang w:val="sk-SK"/>
              </w:rPr>
              <w:t xml:space="preserve"> áno</w:t>
            </w:r>
          </w:p>
        </w:tc>
        <w:tc>
          <w:tcPr>
            <w:tcW w:w="2686" w:type="dxa"/>
            <w:shd w:val="clear" w:color="auto" w:fill="auto"/>
            <w:vAlign w:val="center"/>
          </w:tcPr>
          <w:p w:rsidR="00C34D71" w:rsidRPr="00C34D71" w:rsidRDefault="00C34D71" w:rsidP="00C34D71">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C34D71" w:rsidRPr="00C34D71" w:rsidTr="00DF3112">
        <w:tc>
          <w:tcPr>
            <w:tcW w:w="4331" w:type="dxa"/>
            <w:shd w:val="clear" w:color="auto" w:fill="auto"/>
            <w:vAlign w:val="center"/>
          </w:tcPr>
          <w:p w:rsidR="00C34D71" w:rsidRPr="00C34D71" w:rsidRDefault="00C34D71" w:rsidP="00C34D71">
            <w:pPr>
              <w:numPr>
                <w:ilvl w:val="2"/>
                <w:numId w:val="0"/>
              </w:numPr>
              <w:tabs>
                <w:tab w:val="num" w:pos="142"/>
                <w:tab w:val="num" w:pos="850"/>
              </w:tabs>
              <w:spacing w:before="120" w:after="120" w:line="240" w:lineRule="auto"/>
              <w:ind w:left="284"/>
              <w:rPr>
                <w:rFonts w:ascii="Times New Roman" w:hAnsi="Times New Roman"/>
                <w:sz w:val="24"/>
                <w:szCs w:val="24"/>
                <w:lang w:val="sk-SK"/>
              </w:rPr>
            </w:pPr>
            <w:r w:rsidRPr="00C34D71">
              <w:rPr>
                <w:rFonts w:ascii="Times New Roman" w:hAnsi="Times New Roman"/>
                <w:sz w:val="24"/>
                <w:lang w:val="sk-SK"/>
              </w:rPr>
              <w:t>Oddiel K „Finančné a poisťovacie činnosti“ štatistickej klasifikácie ekonomických činností NACE Rev. 2</w:t>
            </w:r>
          </w:p>
        </w:tc>
        <w:tc>
          <w:tcPr>
            <w:tcW w:w="1584" w:type="dxa"/>
            <w:shd w:val="clear" w:color="auto" w:fill="auto"/>
            <w:vAlign w:val="bottom"/>
          </w:tcPr>
          <w:p w:rsidR="00C34D71" w:rsidRPr="00C34D71" w:rsidRDefault="00C34D71" w:rsidP="00C34D71">
            <w:pPr>
              <w:numPr>
                <w:ilvl w:val="2"/>
                <w:numId w:val="0"/>
              </w:numPr>
              <w:tabs>
                <w:tab w:val="num" w:pos="850"/>
              </w:tabs>
              <w:spacing w:before="120" w:after="120" w:line="240" w:lineRule="auto"/>
              <w:ind w:left="1200" w:hanging="615"/>
              <w:rPr>
                <w:rFonts w:ascii="Times New Roman" w:hAnsi="Times New Roman"/>
                <w:sz w:val="24"/>
                <w:szCs w:val="24"/>
                <w:lang w:val="sk-SK"/>
              </w:rPr>
            </w:pPr>
            <w:r w:rsidRPr="00C34D71">
              <w:rPr>
                <w:rFonts w:ascii="Times New Roman" w:hAnsi="Times New Roman"/>
                <w:sz w:val="24"/>
                <w:szCs w:val="24"/>
                <w:lang w:val="sk-SK"/>
              </w:rPr>
              <w:fldChar w:fldCharType="begin">
                <w:ffData>
                  <w:name w:val="Check1"/>
                  <w:enabled/>
                  <w:calcOnExit w:val="0"/>
                  <w:checkBox>
                    <w:sizeAuto/>
                    <w:default w:val="0"/>
                  </w:checkBox>
                </w:ffData>
              </w:fldChar>
            </w:r>
            <w:r w:rsidRPr="00C34D71">
              <w:rPr>
                <w:rFonts w:ascii="Times New Roman" w:hAnsi="Times New Roman"/>
                <w:sz w:val="24"/>
                <w:szCs w:val="24"/>
                <w:lang w:val="sk-SK"/>
              </w:rPr>
              <w:instrText xml:space="preserve"> FORMCHECKBOX </w:instrText>
            </w:r>
            <w:r w:rsidR="00D956D7">
              <w:rPr>
                <w:rFonts w:ascii="Times New Roman" w:hAnsi="Times New Roman"/>
                <w:sz w:val="24"/>
                <w:szCs w:val="24"/>
                <w:lang w:val="sk-SK"/>
              </w:rPr>
            </w:r>
            <w:r w:rsidR="00D956D7">
              <w:rPr>
                <w:rFonts w:ascii="Times New Roman" w:hAnsi="Times New Roman"/>
                <w:sz w:val="24"/>
                <w:szCs w:val="24"/>
                <w:lang w:val="sk-SK"/>
              </w:rPr>
              <w:fldChar w:fldCharType="separate"/>
            </w:r>
            <w:r w:rsidRPr="00C34D71">
              <w:rPr>
                <w:rFonts w:ascii="Times New Roman" w:hAnsi="Times New Roman"/>
                <w:sz w:val="24"/>
                <w:szCs w:val="24"/>
                <w:lang w:val="sk-SK"/>
              </w:rPr>
              <w:fldChar w:fldCharType="end"/>
            </w:r>
            <w:r w:rsidRPr="00C34D71">
              <w:rPr>
                <w:rFonts w:ascii="Times New Roman" w:hAnsi="Times New Roman"/>
                <w:sz w:val="24"/>
                <w:lang w:val="sk-SK"/>
              </w:rPr>
              <w:t xml:space="preserve"> áno</w:t>
            </w:r>
          </w:p>
        </w:tc>
        <w:tc>
          <w:tcPr>
            <w:tcW w:w="2686" w:type="dxa"/>
            <w:shd w:val="clear" w:color="auto" w:fill="auto"/>
            <w:vAlign w:val="center"/>
          </w:tcPr>
          <w:p w:rsidR="00C34D71" w:rsidRPr="00C34D71" w:rsidRDefault="00C34D71" w:rsidP="00C34D71">
            <w:pPr>
              <w:numPr>
                <w:ilvl w:val="2"/>
                <w:numId w:val="0"/>
              </w:numPr>
              <w:tabs>
                <w:tab w:val="num" w:pos="850"/>
              </w:tabs>
              <w:spacing w:before="120" w:after="120" w:line="240" w:lineRule="auto"/>
              <w:ind w:left="850" w:hanging="850"/>
              <w:rPr>
                <w:rFonts w:ascii="Times New Roman" w:hAnsi="Times New Roman"/>
                <w:sz w:val="24"/>
                <w:szCs w:val="24"/>
                <w:lang w:val="sk-SK"/>
              </w:rPr>
            </w:pPr>
          </w:p>
        </w:tc>
      </w:tr>
      <w:tr w:rsidR="00C34D71" w:rsidRPr="00C34D71" w:rsidTr="00DF3112">
        <w:tc>
          <w:tcPr>
            <w:tcW w:w="4331" w:type="dxa"/>
            <w:shd w:val="clear" w:color="auto" w:fill="auto"/>
            <w:vAlign w:val="center"/>
          </w:tcPr>
          <w:p w:rsidR="00C34D71" w:rsidRPr="00C34D71" w:rsidRDefault="00C34D71" w:rsidP="00C34D71">
            <w:pPr>
              <w:numPr>
                <w:ilvl w:val="2"/>
                <w:numId w:val="0"/>
              </w:numPr>
              <w:tabs>
                <w:tab w:val="num" w:pos="142"/>
                <w:tab w:val="num" w:pos="850"/>
              </w:tabs>
              <w:spacing w:before="120" w:after="120" w:line="240" w:lineRule="auto"/>
              <w:ind w:left="284"/>
              <w:rPr>
                <w:rFonts w:ascii="Times New Roman" w:hAnsi="Times New Roman"/>
                <w:sz w:val="24"/>
                <w:szCs w:val="24"/>
                <w:lang w:val="sk-SK"/>
              </w:rPr>
            </w:pPr>
            <w:r w:rsidRPr="00C34D71">
              <w:rPr>
                <w:rFonts w:ascii="Times New Roman" w:hAnsi="Times New Roman"/>
                <w:sz w:val="24"/>
                <w:lang w:val="sk-SK"/>
              </w:rPr>
              <w:t>NACE 70.10 „Vedenie firiem“ a 70.22 „Poradenské služby v oblasti podnikania a riadenia“</w:t>
            </w:r>
          </w:p>
        </w:tc>
        <w:tc>
          <w:tcPr>
            <w:tcW w:w="1584" w:type="dxa"/>
            <w:shd w:val="clear" w:color="auto" w:fill="auto"/>
            <w:vAlign w:val="bottom"/>
          </w:tcPr>
          <w:p w:rsidR="00C34D71" w:rsidRPr="00C34D71" w:rsidRDefault="00C34D71" w:rsidP="00C34D71">
            <w:pPr>
              <w:numPr>
                <w:ilvl w:val="2"/>
                <w:numId w:val="0"/>
              </w:numPr>
              <w:tabs>
                <w:tab w:val="num" w:pos="850"/>
              </w:tabs>
              <w:spacing w:before="120" w:after="120" w:line="240" w:lineRule="auto"/>
              <w:ind w:left="1200" w:hanging="615"/>
              <w:rPr>
                <w:rFonts w:ascii="Times New Roman" w:hAnsi="Times New Roman"/>
                <w:sz w:val="24"/>
                <w:szCs w:val="24"/>
                <w:lang w:val="sk-SK"/>
              </w:rPr>
            </w:pPr>
            <w:r w:rsidRPr="00C34D71">
              <w:rPr>
                <w:rFonts w:ascii="Times New Roman" w:hAnsi="Times New Roman"/>
                <w:sz w:val="24"/>
                <w:szCs w:val="24"/>
                <w:lang w:val="sk-SK"/>
              </w:rPr>
              <w:fldChar w:fldCharType="begin">
                <w:ffData>
                  <w:name w:val="Check1"/>
                  <w:enabled/>
                  <w:calcOnExit w:val="0"/>
                  <w:checkBox>
                    <w:sizeAuto/>
                    <w:default w:val="0"/>
                  </w:checkBox>
                </w:ffData>
              </w:fldChar>
            </w:r>
            <w:r w:rsidRPr="00C34D71">
              <w:rPr>
                <w:rFonts w:ascii="Times New Roman" w:hAnsi="Times New Roman"/>
                <w:sz w:val="24"/>
                <w:szCs w:val="24"/>
                <w:lang w:val="sk-SK"/>
              </w:rPr>
              <w:instrText xml:space="preserve"> FORMCHECKBOX </w:instrText>
            </w:r>
            <w:r w:rsidR="00D956D7">
              <w:rPr>
                <w:rFonts w:ascii="Times New Roman" w:hAnsi="Times New Roman"/>
                <w:sz w:val="24"/>
                <w:szCs w:val="24"/>
                <w:lang w:val="sk-SK"/>
              </w:rPr>
            </w:r>
            <w:r w:rsidR="00D956D7">
              <w:rPr>
                <w:rFonts w:ascii="Times New Roman" w:hAnsi="Times New Roman"/>
                <w:sz w:val="24"/>
                <w:szCs w:val="24"/>
                <w:lang w:val="sk-SK"/>
              </w:rPr>
              <w:fldChar w:fldCharType="separate"/>
            </w:r>
            <w:r w:rsidRPr="00C34D71">
              <w:rPr>
                <w:rFonts w:ascii="Times New Roman" w:hAnsi="Times New Roman"/>
                <w:sz w:val="24"/>
                <w:szCs w:val="24"/>
                <w:lang w:val="sk-SK"/>
              </w:rPr>
              <w:fldChar w:fldCharType="end"/>
            </w:r>
            <w:r w:rsidRPr="00C34D71">
              <w:rPr>
                <w:rFonts w:ascii="Times New Roman" w:hAnsi="Times New Roman"/>
                <w:sz w:val="24"/>
                <w:lang w:val="sk-SK"/>
              </w:rPr>
              <w:t xml:space="preserve"> áno</w:t>
            </w:r>
          </w:p>
        </w:tc>
        <w:tc>
          <w:tcPr>
            <w:tcW w:w="2686" w:type="dxa"/>
            <w:shd w:val="clear" w:color="auto" w:fill="auto"/>
            <w:vAlign w:val="center"/>
          </w:tcPr>
          <w:p w:rsidR="00C34D71" w:rsidRPr="00C34D71" w:rsidRDefault="00C34D71" w:rsidP="00C34D71">
            <w:pPr>
              <w:numPr>
                <w:ilvl w:val="2"/>
                <w:numId w:val="0"/>
              </w:numPr>
              <w:tabs>
                <w:tab w:val="num" w:pos="850"/>
              </w:tabs>
              <w:spacing w:before="120" w:after="120" w:line="240" w:lineRule="auto"/>
              <w:ind w:left="850" w:hanging="850"/>
              <w:rPr>
                <w:rFonts w:ascii="Times New Roman" w:hAnsi="Times New Roman"/>
                <w:sz w:val="24"/>
                <w:szCs w:val="24"/>
                <w:lang w:val="sk-SK"/>
              </w:rPr>
            </w:pPr>
          </w:p>
        </w:tc>
      </w:tr>
    </w:tbl>
    <w:p w:rsidR="00C34D71" w:rsidRPr="00C34D71" w:rsidRDefault="00C34D71" w:rsidP="00C34D71">
      <w:pPr>
        <w:spacing w:before="120" w:after="120" w:line="240" w:lineRule="auto"/>
        <w:jc w:val="both"/>
        <w:rPr>
          <w:rFonts w:ascii="Times New Roman" w:hAnsi="Times New Roman"/>
          <w:sz w:val="24"/>
          <w:lang w:val="sk-SK"/>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39"/>
      </w:tblGrid>
      <w:tr w:rsidR="00C34D71" w:rsidRPr="00C34D71" w:rsidTr="004E038F">
        <w:trPr>
          <w:trHeight w:val="737"/>
        </w:trPr>
        <w:tc>
          <w:tcPr>
            <w:tcW w:w="9039" w:type="dxa"/>
            <w:tcBorders>
              <w:top w:val="single" w:sz="4" w:space="0" w:color="auto"/>
              <w:bottom w:val="single" w:sz="4" w:space="0" w:color="auto"/>
            </w:tcBorders>
            <w:shd w:val="pct15" w:color="auto" w:fill="FFFFFF"/>
          </w:tcPr>
          <w:p w:rsidR="00C34D71" w:rsidRPr="00C34D71" w:rsidRDefault="00C34D71" w:rsidP="00C34D71">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C34D71">
              <w:rPr>
                <w:rFonts w:ascii="Times New Roman" w:eastAsia="Times New Roman" w:hAnsi="Times New Roman"/>
                <w:bCs/>
                <w:iCs/>
                <w:sz w:val="24"/>
                <w:lang w:val="sk-SK"/>
              </w:rPr>
              <w:t>Základné prvky schémy</w:t>
            </w:r>
          </w:p>
        </w:tc>
      </w:tr>
    </w:tbl>
    <w:p w:rsidR="00C34D71" w:rsidRPr="00C34D71" w:rsidRDefault="00C34D71" w:rsidP="00C34D71">
      <w:pPr>
        <w:numPr>
          <w:ilvl w:val="1"/>
          <w:numId w:val="2"/>
        </w:numPr>
        <w:spacing w:before="100" w:beforeAutospacing="1" w:after="100" w:afterAutospacing="1" w:line="240" w:lineRule="auto"/>
        <w:ind w:hanging="792"/>
        <w:contextualSpacing/>
        <w:jc w:val="both"/>
        <w:rPr>
          <w:rFonts w:ascii="Times New Roman" w:hAnsi="Times New Roman"/>
          <w:b/>
          <w:sz w:val="24"/>
          <w:szCs w:val="20"/>
          <w:lang w:val="sk-SK" w:eastAsia="sk-SK" w:bidi="sk-SK"/>
        </w:rPr>
      </w:pPr>
      <w:r w:rsidRPr="00C34D71">
        <w:rPr>
          <w:rFonts w:ascii="Times New Roman" w:hAnsi="Times New Roman"/>
          <w:b/>
          <w:sz w:val="24"/>
          <w:szCs w:val="20"/>
          <w:lang w:val="sk-SK" w:eastAsia="sk-SK" w:bidi="sk-SK"/>
        </w:rPr>
        <w:t>Opíšte základné prvky schémy a jej ciele:</w:t>
      </w:r>
    </w:p>
    <w:p w:rsidR="00C34D71" w:rsidRPr="00C34D71" w:rsidRDefault="00C34D71" w:rsidP="00C34D71">
      <w:pPr>
        <w:tabs>
          <w:tab w:val="left" w:leader="dot" w:pos="9072"/>
        </w:tabs>
        <w:spacing w:before="100" w:beforeAutospacing="1" w:after="100" w:afterAutospacing="1" w:line="240" w:lineRule="auto"/>
        <w:ind w:left="792"/>
        <w:contextualSpacing/>
        <w:rPr>
          <w:rFonts w:ascii="Times New Roman" w:hAnsi="Times New Roman"/>
          <w:sz w:val="24"/>
          <w:szCs w:val="24"/>
          <w:lang w:val="sk-SK" w:eastAsia="sk-SK" w:bidi="sk-SK"/>
        </w:rPr>
      </w:pPr>
      <w:r w:rsidRPr="00C34D71">
        <w:rPr>
          <w:rFonts w:ascii="Times New Roman" w:hAnsi="Times New Roman"/>
          <w:sz w:val="24"/>
          <w:szCs w:val="20"/>
          <w:lang w:val="sk-SK" w:eastAsia="sk-SK" w:bidi="sk-SK"/>
        </w:rPr>
        <w:tab/>
      </w:r>
    </w:p>
    <w:p w:rsidR="00C34D71" w:rsidRDefault="00C34D71" w:rsidP="00C34D71">
      <w:pPr>
        <w:numPr>
          <w:ilvl w:val="1"/>
          <w:numId w:val="2"/>
        </w:numPr>
        <w:spacing w:before="100" w:beforeAutospacing="1" w:after="100" w:afterAutospacing="1" w:line="240" w:lineRule="auto"/>
        <w:ind w:hanging="792"/>
        <w:contextualSpacing/>
        <w:jc w:val="both"/>
        <w:rPr>
          <w:rFonts w:ascii="Times New Roman" w:hAnsi="Times New Roman"/>
          <w:b/>
          <w:sz w:val="24"/>
          <w:szCs w:val="20"/>
          <w:lang w:val="sk-SK" w:eastAsia="sk-SK" w:bidi="sk-SK"/>
        </w:rPr>
      </w:pPr>
      <w:r w:rsidRPr="00C34D71">
        <w:rPr>
          <w:rFonts w:ascii="Times New Roman" w:hAnsi="Times New Roman"/>
          <w:b/>
          <w:sz w:val="24"/>
          <w:szCs w:val="20"/>
          <w:lang w:val="sk-SK" w:eastAsia="sk-SK" w:bidi="sk-SK"/>
        </w:rPr>
        <w:t>Uveďte, ktoré formy pomoci sú v rámci schémy povolené:</w:t>
      </w:r>
    </w:p>
    <w:p w:rsidR="00DF3112" w:rsidRPr="00C34D71" w:rsidRDefault="00DF3112" w:rsidP="00DF3112">
      <w:pPr>
        <w:spacing w:before="100" w:beforeAutospacing="1" w:after="100" w:afterAutospacing="1" w:line="240" w:lineRule="auto"/>
        <w:ind w:left="716"/>
        <w:contextualSpacing/>
        <w:jc w:val="both"/>
        <w:rPr>
          <w:rFonts w:ascii="Times New Roman" w:hAnsi="Times New Roman"/>
          <w:b/>
          <w:sz w:val="24"/>
          <w:szCs w:val="20"/>
          <w:lang w:val="sk-SK" w:eastAsia="sk-SK" w:bidi="sk-SK"/>
        </w:rPr>
      </w:pPr>
    </w:p>
    <w:p w:rsidR="00C34D71" w:rsidRPr="00C34D71" w:rsidRDefault="00DF3112" w:rsidP="00C34D71">
      <w:pPr>
        <w:numPr>
          <w:ilvl w:val="1"/>
          <w:numId w:val="0"/>
        </w:numPr>
        <w:tabs>
          <w:tab w:val="num" w:pos="1899"/>
        </w:tabs>
        <w:spacing w:after="240" w:line="240" w:lineRule="auto"/>
        <w:ind w:left="1899" w:hanging="708"/>
        <w:jc w:val="both"/>
        <w:rPr>
          <w:rFonts w:ascii="Times New Roman" w:eastAsia="Times New Roman" w:hAnsi="Times New Roman"/>
          <w:sz w:val="24"/>
          <w:szCs w:val="20"/>
          <w:lang w:val="sk-SK"/>
        </w:rPr>
      </w:pPr>
      <w:r>
        <w:rPr>
          <w:rFonts w:ascii="Times New Roman" w:eastAsia="Times New Roman" w:hAnsi="Times New Roman"/>
          <w:sz w:val="24"/>
          <w:szCs w:val="20"/>
          <w:lang w:val="sk-SK"/>
        </w:rPr>
        <w:t xml:space="preserve">(a)        </w:t>
      </w:r>
      <w:r w:rsidR="00C34D71" w:rsidRPr="00C34D71">
        <w:rPr>
          <w:rFonts w:ascii="Times New Roman" w:eastAsia="Times New Roman" w:hAnsi="Times New Roman"/>
          <w:sz w:val="24"/>
          <w:szCs w:val="20"/>
          <w:lang w:val="sk-SK"/>
        </w:rPr>
        <w:fldChar w:fldCharType="begin">
          <w:ffData>
            <w:name w:val="Check1"/>
            <w:enabled/>
            <w:calcOnExit w:val="0"/>
            <w:checkBox>
              <w:sizeAuto/>
              <w:default w:val="0"/>
            </w:checkBox>
          </w:ffData>
        </w:fldChar>
      </w:r>
      <w:r w:rsidR="00C34D71" w:rsidRPr="00C34D71">
        <w:rPr>
          <w:rFonts w:ascii="Times New Roman" w:eastAsia="Times New Roman" w:hAnsi="Times New Roman"/>
          <w:sz w:val="24"/>
          <w:szCs w:val="20"/>
          <w:lang w:val="sk-SK"/>
        </w:rPr>
        <w:instrText xml:space="preserve"> FORMCHECKBOX </w:instrText>
      </w:r>
      <w:r w:rsidR="00D956D7">
        <w:rPr>
          <w:rFonts w:ascii="Times New Roman" w:eastAsia="Times New Roman" w:hAnsi="Times New Roman"/>
          <w:sz w:val="24"/>
          <w:szCs w:val="20"/>
          <w:lang w:val="sk-SK"/>
        </w:rPr>
      </w:r>
      <w:r w:rsidR="00D956D7">
        <w:rPr>
          <w:rFonts w:ascii="Times New Roman" w:eastAsia="Times New Roman" w:hAnsi="Times New Roman"/>
          <w:sz w:val="24"/>
          <w:szCs w:val="20"/>
          <w:lang w:val="sk-SK"/>
        </w:rPr>
        <w:fldChar w:fldCharType="separate"/>
      </w:r>
      <w:r w:rsidR="00C34D71" w:rsidRPr="00C34D71">
        <w:rPr>
          <w:rFonts w:ascii="Times New Roman" w:eastAsia="Times New Roman" w:hAnsi="Times New Roman"/>
          <w:sz w:val="24"/>
          <w:szCs w:val="20"/>
          <w:lang w:val="sk-SK"/>
        </w:rPr>
        <w:fldChar w:fldCharType="end"/>
      </w:r>
      <w:r w:rsidR="00C34D71" w:rsidRPr="00C34D71">
        <w:rPr>
          <w:rFonts w:ascii="Times New Roman" w:eastAsia="Times New Roman" w:hAnsi="Times New Roman"/>
          <w:sz w:val="24"/>
          <w:szCs w:val="20"/>
          <w:lang w:val="sk-SK"/>
        </w:rPr>
        <w:tab/>
        <w:t>granty. Uveďte odkaz na príslušné ustanovenia právneho základu:</w:t>
      </w:r>
    </w:p>
    <w:p w:rsidR="00C34D71" w:rsidRPr="00C34D71" w:rsidRDefault="00C34D71" w:rsidP="00C34D71">
      <w:pPr>
        <w:tabs>
          <w:tab w:val="left" w:leader="dot" w:pos="9072"/>
        </w:tabs>
        <w:spacing w:before="100" w:beforeAutospacing="1" w:after="100" w:afterAutospacing="1" w:line="240" w:lineRule="auto"/>
        <w:ind w:left="113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DF3112" w:rsidP="00C34D71">
      <w:pPr>
        <w:numPr>
          <w:ilvl w:val="1"/>
          <w:numId w:val="0"/>
        </w:numPr>
        <w:tabs>
          <w:tab w:val="num" w:pos="1899"/>
        </w:tabs>
        <w:spacing w:after="240" w:line="240" w:lineRule="auto"/>
        <w:ind w:left="1899" w:hanging="708"/>
        <w:jc w:val="both"/>
        <w:rPr>
          <w:rFonts w:ascii="Times New Roman" w:eastAsia="Times New Roman" w:hAnsi="Times New Roman"/>
          <w:sz w:val="24"/>
          <w:szCs w:val="20"/>
          <w:lang w:val="sk-SK"/>
        </w:rPr>
      </w:pPr>
      <w:r>
        <w:rPr>
          <w:rFonts w:ascii="Times New Roman" w:eastAsia="Times New Roman" w:hAnsi="Times New Roman"/>
          <w:sz w:val="24"/>
          <w:szCs w:val="20"/>
          <w:lang w:val="sk-SK"/>
        </w:rPr>
        <w:t xml:space="preserve">(b)        </w:t>
      </w:r>
      <w:r w:rsidR="00C34D71" w:rsidRPr="00C34D71">
        <w:rPr>
          <w:rFonts w:ascii="Times New Roman" w:eastAsia="Times New Roman" w:hAnsi="Times New Roman"/>
          <w:sz w:val="24"/>
          <w:szCs w:val="20"/>
          <w:lang w:val="sk-SK"/>
        </w:rPr>
        <w:fldChar w:fldCharType="begin">
          <w:ffData>
            <w:name w:val="Check1"/>
            <w:enabled/>
            <w:calcOnExit w:val="0"/>
            <w:checkBox>
              <w:sizeAuto/>
              <w:default w:val="0"/>
            </w:checkBox>
          </w:ffData>
        </w:fldChar>
      </w:r>
      <w:r w:rsidR="00C34D71" w:rsidRPr="00C34D71">
        <w:rPr>
          <w:rFonts w:ascii="Times New Roman" w:eastAsia="Times New Roman" w:hAnsi="Times New Roman"/>
          <w:sz w:val="24"/>
          <w:szCs w:val="20"/>
          <w:lang w:val="sk-SK"/>
        </w:rPr>
        <w:instrText xml:space="preserve"> FORMCHECKBOX </w:instrText>
      </w:r>
      <w:r w:rsidR="00D956D7">
        <w:rPr>
          <w:rFonts w:ascii="Times New Roman" w:eastAsia="Times New Roman" w:hAnsi="Times New Roman"/>
          <w:sz w:val="24"/>
          <w:szCs w:val="20"/>
          <w:lang w:val="sk-SK"/>
        </w:rPr>
      </w:r>
      <w:r w:rsidR="00D956D7">
        <w:rPr>
          <w:rFonts w:ascii="Times New Roman" w:eastAsia="Times New Roman" w:hAnsi="Times New Roman"/>
          <w:sz w:val="24"/>
          <w:szCs w:val="20"/>
          <w:lang w:val="sk-SK"/>
        </w:rPr>
        <w:fldChar w:fldCharType="separate"/>
      </w:r>
      <w:r w:rsidR="00C34D71" w:rsidRPr="00C34D71">
        <w:rPr>
          <w:rFonts w:ascii="Times New Roman" w:eastAsia="Times New Roman" w:hAnsi="Times New Roman"/>
          <w:sz w:val="24"/>
          <w:szCs w:val="20"/>
          <w:lang w:val="sk-SK"/>
        </w:rPr>
        <w:fldChar w:fldCharType="end"/>
      </w:r>
      <w:r w:rsidR="00C34D71" w:rsidRPr="00C34D71">
        <w:rPr>
          <w:rFonts w:ascii="Times New Roman" w:eastAsia="Times New Roman" w:hAnsi="Times New Roman"/>
          <w:sz w:val="24"/>
          <w:szCs w:val="20"/>
          <w:lang w:val="sk-SK"/>
        </w:rPr>
        <w:tab/>
        <w:t>zvýhodnené úvery. Uveďte, ako sa vypočíta ekvivalent grantu, a poskytnite odkaz na príslušné ustanovenia právneho základu:</w:t>
      </w:r>
    </w:p>
    <w:p w:rsidR="00C34D71" w:rsidRPr="00C34D71" w:rsidRDefault="00C34D71" w:rsidP="00C34D71">
      <w:pPr>
        <w:tabs>
          <w:tab w:val="left" w:leader="dot" w:pos="9072"/>
        </w:tabs>
        <w:spacing w:before="100" w:beforeAutospacing="1" w:after="100" w:afterAutospacing="1" w:line="240" w:lineRule="auto"/>
        <w:ind w:left="113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DF3112" w:rsidP="00C34D71">
      <w:pPr>
        <w:numPr>
          <w:ilvl w:val="1"/>
          <w:numId w:val="0"/>
        </w:numPr>
        <w:tabs>
          <w:tab w:val="num" w:pos="1899"/>
        </w:tabs>
        <w:spacing w:after="240" w:line="240" w:lineRule="auto"/>
        <w:ind w:left="1899" w:hanging="708"/>
        <w:jc w:val="both"/>
        <w:rPr>
          <w:rFonts w:ascii="Times New Roman" w:eastAsia="Times New Roman" w:hAnsi="Times New Roman"/>
          <w:sz w:val="24"/>
          <w:szCs w:val="20"/>
          <w:lang w:val="sk-SK"/>
        </w:rPr>
      </w:pPr>
      <w:r>
        <w:rPr>
          <w:rFonts w:ascii="Times New Roman" w:eastAsia="Times New Roman" w:hAnsi="Times New Roman"/>
          <w:sz w:val="24"/>
          <w:szCs w:val="20"/>
          <w:lang w:val="sk-SK"/>
        </w:rPr>
        <w:t xml:space="preserve">(c)        </w:t>
      </w:r>
      <w:r w:rsidR="00C34D71" w:rsidRPr="00C34D71">
        <w:rPr>
          <w:rFonts w:ascii="Times New Roman" w:eastAsia="Times New Roman" w:hAnsi="Times New Roman"/>
          <w:sz w:val="24"/>
          <w:szCs w:val="20"/>
          <w:lang w:val="sk-SK"/>
        </w:rPr>
        <w:fldChar w:fldCharType="begin">
          <w:ffData>
            <w:name w:val="Check1"/>
            <w:enabled/>
            <w:calcOnExit w:val="0"/>
            <w:checkBox>
              <w:sizeAuto/>
              <w:default w:val="0"/>
            </w:checkBox>
          </w:ffData>
        </w:fldChar>
      </w:r>
      <w:r w:rsidR="00C34D71" w:rsidRPr="00C34D71">
        <w:rPr>
          <w:rFonts w:ascii="Times New Roman" w:eastAsia="Times New Roman" w:hAnsi="Times New Roman"/>
          <w:sz w:val="24"/>
          <w:szCs w:val="20"/>
          <w:lang w:val="sk-SK"/>
        </w:rPr>
        <w:instrText xml:space="preserve"> FORMCHECKBOX </w:instrText>
      </w:r>
      <w:r w:rsidR="00D956D7">
        <w:rPr>
          <w:rFonts w:ascii="Times New Roman" w:eastAsia="Times New Roman" w:hAnsi="Times New Roman"/>
          <w:sz w:val="24"/>
          <w:szCs w:val="20"/>
          <w:lang w:val="sk-SK"/>
        </w:rPr>
      </w:r>
      <w:r w:rsidR="00D956D7">
        <w:rPr>
          <w:rFonts w:ascii="Times New Roman" w:eastAsia="Times New Roman" w:hAnsi="Times New Roman"/>
          <w:sz w:val="24"/>
          <w:szCs w:val="20"/>
          <w:lang w:val="sk-SK"/>
        </w:rPr>
        <w:fldChar w:fldCharType="separate"/>
      </w:r>
      <w:r w:rsidR="00C34D71" w:rsidRPr="00C34D71">
        <w:rPr>
          <w:rFonts w:ascii="Times New Roman" w:eastAsia="Times New Roman" w:hAnsi="Times New Roman"/>
          <w:sz w:val="24"/>
          <w:szCs w:val="20"/>
          <w:lang w:val="sk-SK"/>
        </w:rPr>
        <w:fldChar w:fldCharType="end"/>
      </w:r>
      <w:r w:rsidR="00C34D71" w:rsidRPr="00C34D71">
        <w:rPr>
          <w:rFonts w:ascii="Times New Roman" w:eastAsia="Times New Roman" w:hAnsi="Times New Roman"/>
          <w:sz w:val="24"/>
          <w:szCs w:val="20"/>
          <w:lang w:val="sk-SK"/>
        </w:rPr>
        <w:tab/>
        <w:t>záruky. Uveďte, ako sa vypočíta ekvivalent grantu, a poskytnite odkaz na príslušné ustanovenia právneho základu:</w:t>
      </w:r>
    </w:p>
    <w:p w:rsidR="00C34D71" w:rsidRPr="00C34D71" w:rsidRDefault="00C34D71" w:rsidP="00C34D71">
      <w:pPr>
        <w:tabs>
          <w:tab w:val="left" w:leader="dot" w:pos="9072"/>
        </w:tabs>
        <w:spacing w:before="100" w:beforeAutospacing="1" w:after="100" w:afterAutospacing="1" w:line="240" w:lineRule="auto"/>
        <w:ind w:left="1276"/>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DF3112" w:rsidP="00C34D71">
      <w:pPr>
        <w:numPr>
          <w:ilvl w:val="1"/>
          <w:numId w:val="0"/>
        </w:numPr>
        <w:tabs>
          <w:tab w:val="num" w:pos="1899"/>
        </w:tabs>
        <w:spacing w:after="240" w:line="240" w:lineRule="auto"/>
        <w:ind w:left="1899" w:hanging="708"/>
        <w:jc w:val="both"/>
        <w:rPr>
          <w:rFonts w:ascii="Times New Roman" w:eastAsia="Times New Roman" w:hAnsi="Times New Roman"/>
          <w:sz w:val="24"/>
          <w:szCs w:val="20"/>
          <w:lang w:val="sk-SK"/>
        </w:rPr>
      </w:pPr>
      <w:r>
        <w:rPr>
          <w:rFonts w:ascii="Times New Roman" w:eastAsia="Times New Roman" w:hAnsi="Times New Roman"/>
          <w:sz w:val="24"/>
          <w:szCs w:val="20"/>
          <w:lang w:val="sk-SK"/>
        </w:rPr>
        <w:lastRenderedPageBreak/>
        <w:t xml:space="preserve">(d)       </w:t>
      </w:r>
      <w:r w:rsidR="00C34D71" w:rsidRPr="00C34D71">
        <w:rPr>
          <w:rFonts w:ascii="Times New Roman" w:eastAsia="Times New Roman" w:hAnsi="Times New Roman"/>
          <w:sz w:val="24"/>
          <w:szCs w:val="20"/>
          <w:lang w:val="sk-SK"/>
        </w:rPr>
        <w:fldChar w:fldCharType="begin">
          <w:ffData>
            <w:name w:val="Check1"/>
            <w:enabled/>
            <w:calcOnExit w:val="0"/>
            <w:checkBox>
              <w:sizeAuto/>
              <w:default w:val="0"/>
            </w:checkBox>
          </w:ffData>
        </w:fldChar>
      </w:r>
      <w:r w:rsidR="00C34D71" w:rsidRPr="00C34D71">
        <w:rPr>
          <w:rFonts w:ascii="Times New Roman" w:eastAsia="Times New Roman" w:hAnsi="Times New Roman"/>
          <w:sz w:val="24"/>
          <w:szCs w:val="20"/>
          <w:lang w:val="sk-SK"/>
        </w:rPr>
        <w:instrText xml:space="preserve"> FORMCHECKBOX </w:instrText>
      </w:r>
      <w:r w:rsidR="00D956D7">
        <w:rPr>
          <w:rFonts w:ascii="Times New Roman" w:eastAsia="Times New Roman" w:hAnsi="Times New Roman"/>
          <w:sz w:val="24"/>
          <w:szCs w:val="20"/>
          <w:lang w:val="sk-SK"/>
        </w:rPr>
      </w:r>
      <w:r w:rsidR="00D956D7">
        <w:rPr>
          <w:rFonts w:ascii="Times New Roman" w:eastAsia="Times New Roman" w:hAnsi="Times New Roman"/>
          <w:sz w:val="24"/>
          <w:szCs w:val="20"/>
          <w:lang w:val="sk-SK"/>
        </w:rPr>
        <w:fldChar w:fldCharType="separate"/>
      </w:r>
      <w:r w:rsidR="00C34D71" w:rsidRPr="00C34D71">
        <w:rPr>
          <w:rFonts w:ascii="Times New Roman" w:eastAsia="Times New Roman" w:hAnsi="Times New Roman"/>
          <w:sz w:val="24"/>
          <w:szCs w:val="20"/>
          <w:lang w:val="sk-SK"/>
        </w:rPr>
        <w:fldChar w:fldCharType="end"/>
      </w:r>
      <w:r w:rsidR="00C34D71" w:rsidRPr="00C34D71">
        <w:rPr>
          <w:rFonts w:ascii="Times New Roman" w:eastAsia="Times New Roman" w:hAnsi="Times New Roman"/>
          <w:sz w:val="24"/>
          <w:szCs w:val="20"/>
          <w:lang w:val="sk-SK"/>
        </w:rPr>
        <w:tab/>
        <w:t>daňové opatrenia. Spresnite ktoré a uveďte, ako sa vypočíta ekvivalent grantu; uveďte aj odkaz na príslušné ustanovenia právneho základu:</w:t>
      </w:r>
    </w:p>
    <w:p w:rsidR="00C34D71" w:rsidRPr="00C34D71" w:rsidRDefault="00C34D71" w:rsidP="00C34D71">
      <w:pPr>
        <w:tabs>
          <w:tab w:val="left" w:leader="dot" w:pos="9072"/>
        </w:tabs>
        <w:spacing w:before="100" w:beforeAutospacing="1" w:after="100" w:afterAutospacing="1" w:line="240" w:lineRule="auto"/>
        <w:ind w:left="1276"/>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DF3112" w:rsidP="00C34D71">
      <w:pPr>
        <w:numPr>
          <w:ilvl w:val="1"/>
          <w:numId w:val="0"/>
        </w:numPr>
        <w:tabs>
          <w:tab w:val="num" w:pos="1899"/>
        </w:tabs>
        <w:spacing w:after="240" w:line="240" w:lineRule="auto"/>
        <w:ind w:left="1899" w:hanging="708"/>
        <w:jc w:val="both"/>
        <w:rPr>
          <w:rFonts w:ascii="Times New Roman" w:eastAsia="Times New Roman" w:hAnsi="Times New Roman"/>
          <w:sz w:val="24"/>
          <w:szCs w:val="20"/>
          <w:lang w:val="sk-SK"/>
        </w:rPr>
      </w:pPr>
      <w:r>
        <w:rPr>
          <w:rFonts w:ascii="Times New Roman" w:eastAsia="Times New Roman" w:hAnsi="Times New Roman"/>
          <w:sz w:val="24"/>
          <w:szCs w:val="20"/>
          <w:lang w:val="sk-SK"/>
        </w:rPr>
        <w:t xml:space="preserve">(e)        </w:t>
      </w:r>
      <w:r w:rsidR="00C34D71" w:rsidRPr="00C34D71">
        <w:rPr>
          <w:rFonts w:ascii="Times New Roman" w:eastAsia="Times New Roman" w:hAnsi="Times New Roman"/>
          <w:sz w:val="24"/>
          <w:szCs w:val="20"/>
          <w:lang w:val="sk-SK"/>
        </w:rPr>
        <w:fldChar w:fldCharType="begin">
          <w:ffData>
            <w:name w:val="Check1"/>
            <w:enabled/>
            <w:calcOnExit w:val="0"/>
            <w:checkBox>
              <w:sizeAuto/>
              <w:default w:val="0"/>
            </w:checkBox>
          </w:ffData>
        </w:fldChar>
      </w:r>
      <w:r w:rsidR="00C34D71" w:rsidRPr="00C34D71">
        <w:rPr>
          <w:rFonts w:ascii="Times New Roman" w:eastAsia="Times New Roman" w:hAnsi="Times New Roman"/>
          <w:sz w:val="24"/>
          <w:szCs w:val="20"/>
          <w:lang w:val="sk-SK"/>
        </w:rPr>
        <w:instrText xml:space="preserve"> FORMCHECKBOX </w:instrText>
      </w:r>
      <w:r w:rsidR="00D956D7">
        <w:rPr>
          <w:rFonts w:ascii="Times New Roman" w:eastAsia="Times New Roman" w:hAnsi="Times New Roman"/>
          <w:sz w:val="24"/>
          <w:szCs w:val="20"/>
          <w:lang w:val="sk-SK"/>
        </w:rPr>
      </w:r>
      <w:r w:rsidR="00D956D7">
        <w:rPr>
          <w:rFonts w:ascii="Times New Roman" w:eastAsia="Times New Roman" w:hAnsi="Times New Roman"/>
          <w:sz w:val="24"/>
          <w:szCs w:val="20"/>
          <w:lang w:val="sk-SK"/>
        </w:rPr>
        <w:fldChar w:fldCharType="separate"/>
      </w:r>
      <w:r w:rsidR="00C34D71" w:rsidRPr="00C34D71">
        <w:rPr>
          <w:rFonts w:ascii="Times New Roman" w:eastAsia="Times New Roman" w:hAnsi="Times New Roman"/>
          <w:sz w:val="24"/>
          <w:szCs w:val="20"/>
          <w:lang w:val="sk-SK"/>
        </w:rPr>
        <w:fldChar w:fldCharType="end"/>
      </w:r>
      <w:r w:rsidR="00C34D71" w:rsidRPr="00C34D71">
        <w:rPr>
          <w:rFonts w:ascii="Times New Roman" w:eastAsia="Times New Roman" w:hAnsi="Times New Roman"/>
          <w:sz w:val="24"/>
          <w:szCs w:val="20"/>
          <w:lang w:val="sk-SK"/>
        </w:rPr>
        <w:tab/>
        <w:t>iné. Spresnite a uveďte, ako sa vypočíta ekvivalent grantu; uveďte aj odkaz na príslušné ustanovenia právneho základu:</w:t>
      </w:r>
    </w:p>
    <w:p w:rsidR="00C34D71" w:rsidRPr="00C34D71" w:rsidRDefault="00C34D71" w:rsidP="00C34D71">
      <w:pPr>
        <w:tabs>
          <w:tab w:val="left" w:leader="dot" w:pos="9072"/>
        </w:tabs>
        <w:spacing w:before="100" w:beforeAutospacing="1" w:after="100" w:afterAutospacing="1" w:line="240" w:lineRule="auto"/>
        <w:ind w:left="1276"/>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Default="00C34D71" w:rsidP="00C34D71">
      <w:pPr>
        <w:numPr>
          <w:ilvl w:val="1"/>
          <w:numId w:val="2"/>
        </w:numPr>
        <w:spacing w:before="100" w:beforeAutospacing="1" w:after="100" w:afterAutospacing="1" w:line="240" w:lineRule="auto"/>
        <w:ind w:hanging="792"/>
        <w:contextualSpacing/>
        <w:jc w:val="both"/>
        <w:rPr>
          <w:rFonts w:ascii="Times New Roman" w:hAnsi="Times New Roman"/>
          <w:b/>
          <w:sz w:val="24"/>
          <w:szCs w:val="20"/>
          <w:lang w:val="sk-SK" w:eastAsia="sk-SK" w:bidi="sk-SK"/>
        </w:rPr>
      </w:pPr>
      <w:r w:rsidRPr="00C34D71">
        <w:rPr>
          <w:rFonts w:ascii="Times New Roman" w:hAnsi="Times New Roman"/>
          <w:b/>
          <w:sz w:val="24"/>
          <w:szCs w:val="20"/>
          <w:lang w:val="sk-SK" w:eastAsia="sk-SK" w:bidi="sk-SK"/>
        </w:rPr>
        <w:t>Individuálna pomoc v rámci notifikovanej schémy sa poskytne:</w:t>
      </w:r>
    </w:p>
    <w:p w:rsidR="00DF3112" w:rsidRPr="00C34D71" w:rsidRDefault="00DF3112" w:rsidP="00DF3112">
      <w:pPr>
        <w:spacing w:before="100" w:beforeAutospacing="1" w:after="100" w:afterAutospacing="1" w:line="240" w:lineRule="auto"/>
        <w:ind w:left="716"/>
        <w:contextualSpacing/>
        <w:jc w:val="both"/>
        <w:rPr>
          <w:rFonts w:ascii="Times New Roman" w:hAnsi="Times New Roman"/>
          <w:b/>
          <w:sz w:val="24"/>
          <w:szCs w:val="20"/>
          <w:lang w:val="sk-SK" w:eastAsia="sk-SK" w:bidi="sk-SK"/>
        </w:rPr>
      </w:pPr>
    </w:p>
    <w:p w:rsidR="00C34D71" w:rsidRPr="00C34D71" w:rsidRDefault="00C34D71" w:rsidP="00C34D71">
      <w:pPr>
        <w:numPr>
          <w:ilvl w:val="0"/>
          <w:numId w:val="6"/>
        </w:numPr>
        <w:spacing w:before="120" w:after="240" w:line="240" w:lineRule="auto"/>
        <w:jc w:val="both"/>
        <w:rPr>
          <w:rFonts w:ascii="Times New Roman" w:eastAsia="Times New Roman" w:hAnsi="Times New Roman"/>
          <w:sz w:val="24"/>
          <w:szCs w:val="20"/>
          <w:lang w:val="sk-SK"/>
        </w:rPr>
      </w:pPr>
      <w:r w:rsidRPr="00C34D71">
        <w:rPr>
          <w:rFonts w:ascii="Times New Roman" w:eastAsia="Times New Roman" w:hAnsi="Times New Roman"/>
          <w:sz w:val="24"/>
          <w:szCs w:val="20"/>
          <w:lang w:val="sk-SK"/>
        </w:rPr>
        <w:tab/>
      </w:r>
      <w:r w:rsidR="00DF3112">
        <w:rPr>
          <w:rFonts w:ascii="Times New Roman" w:eastAsia="Times New Roman" w:hAnsi="Times New Roman"/>
          <w:sz w:val="24"/>
          <w:szCs w:val="20"/>
          <w:lang w:val="sk-SK"/>
        </w:rPr>
        <w:t xml:space="preserve">      </w:t>
      </w:r>
      <w:r w:rsidRPr="00C34D71">
        <w:rPr>
          <w:rFonts w:ascii="Times New Roman" w:eastAsia="Times New Roman" w:hAnsi="Times New Roman"/>
          <w:sz w:val="24"/>
          <w:szCs w:val="20"/>
          <w:lang w:val="sk-SK"/>
        </w:rPr>
        <w:fldChar w:fldCharType="begin">
          <w:ffData>
            <w:name w:val="Check1"/>
            <w:enabled/>
            <w:calcOnExit w:val="0"/>
            <w:checkBox>
              <w:sizeAuto/>
              <w:default w:val="0"/>
            </w:checkBox>
          </w:ffData>
        </w:fldChar>
      </w:r>
      <w:r w:rsidRPr="00C34D71">
        <w:rPr>
          <w:rFonts w:ascii="Times New Roman" w:eastAsia="Times New Roman" w:hAnsi="Times New Roman"/>
          <w:sz w:val="24"/>
          <w:szCs w:val="20"/>
          <w:lang w:val="sk-SK"/>
        </w:rPr>
        <w:instrText xml:space="preserve"> FORMCHECKBOX </w:instrText>
      </w:r>
      <w:r w:rsidR="00D956D7">
        <w:rPr>
          <w:rFonts w:ascii="Times New Roman" w:eastAsia="Times New Roman" w:hAnsi="Times New Roman"/>
          <w:sz w:val="24"/>
          <w:szCs w:val="20"/>
          <w:lang w:val="sk-SK"/>
        </w:rPr>
      </w:r>
      <w:r w:rsidR="00D956D7">
        <w:rPr>
          <w:rFonts w:ascii="Times New Roman" w:eastAsia="Times New Roman" w:hAnsi="Times New Roman"/>
          <w:sz w:val="24"/>
          <w:szCs w:val="20"/>
          <w:lang w:val="sk-SK"/>
        </w:rPr>
        <w:fldChar w:fldCharType="separate"/>
      </w:r>
      <w:r w:rsidRPr="00C34D71">
        <w:rPr>
          <w:rFonts w:ascii="Times New Roman" w:eastAsia="Times New Roman" w:hAnsi="Times New Roman"/>
          <w:sz w:val="24"/>
          <w:szCs w:val="20"/>
          <w:lang w:val="sk-SK"/>
        </w:rPr>
        <w:fldChar w:fldCharType="end"/>
      </w:r>
      <w:r w:rsidRPr="00C34D71">
        <w:rPr>
          <w:rFonts w:ascii="Times New Roman" w:eastAsia="Times New Roman" w:hAnsi="Times New Roman"/>
          <w:sz w:val="24"/>
          <w:szCs w:val="20"/>
          <w:lang w:val="sk-SK"/>
        </w:rPr>
        <w:tab/>
        <w:t>automaticky, ak sú splnené podmienky schémy</w:t>
      </w:r>
    </w:p>
    <w:p w:rsidR="00C34D71" w:rsidRPr="00C34D71" w:rsidRDefault="00DF3112" w:rsidP="00DF3112">
      <w:pPr>
        <w:numPr>
          <w:ilvl w:val="0"/>
          <w:numId w:val="6"/>
        </w:numPr>
        <w:spacing w:before="120" w:after="240" w:line="240" w:lineRule="auto"/>
        <w:ind w:left="1920" w:hanging="720"/>
        <w:jc w:val="both"/>
        <w:rPr>
          <w:rFonts w:ascii="Times New Roman" w:eastAsia="Times New Roman" w:hAnsi="Times New Roman"/>
          <w:sz w:val="24"/>
          <w:szCs w:val="20"/>
          <w:lang w:val="sk-SK"/>
        </w:rPr>
      </w:pPr>
      <w:r>
        <w:rPr>
          <w:rFonts w:ascii="Times New Roman" w:eastAsia="Times New Roman" w:hAnsi="Times New Roman"/>
          <w:sz w:val="24"/>
          <w:szCs w:val="20"/>
          <w:lang w:val="sk-SK"/>
        </w:rPr>
        <w:t xml:space="preserve"> </w:t>
      </w:r>
      <w:r w:rsidR="00C34D71" w:rsidRPr="00C34D71">
        <w:rPr>
          <w:rFonts w:ascii="Times New Roman" w:eastAsia="Times New Roman" w:hAnsi="Times New Roman"/>
          <w:sz w:val="24"/>
          <w:szCs w:val="20"/>
          <w:lang w:val="sk-SK"/>
        </w:rPr>
        <w:t xml:space="preserve"> </w:t>
      </w:r>
      <w:r w:rsidR="00C34D71" w:rsidRPr="00C34D71">
        <w:rPr>
          <w:rFonts w:ascii="Times New Roman" w:eastAsia="Times New Roman" w:hAnsi="Times New Roman"/>
          <w:sz w:val="24"/>
          <w:szCs w:val="20"/>
          <w:lang w:val="sk-SK"/>
        </w:rPr>
        <w:tab/>
      </w:r>
      <w:r w:rsidR="00C34D71" w:rsidRPr="00C34D71">
        <w:rPr>
          <w:rFonts w:ascii="Times New Roman" w:eastAsia="Times New Roman" w:hAnsi="Times New Roman"/>
          <w:sz w:val="24"/>
          <w:szCs w:val="20"/>
          <w:lang w:val="sk-SK"/>
        </w:rPr>
        <w:fldChar w:fldCharType="begin">
          <w:ffData>
            <w:name w:val="Check1"/>
            <w:enabled/>
            <w:calcOnExit w:val="0"/>
            <w:checkBox>
              <w:sizeAuto/>
              <w:default w:val="0"/>
            </w:checkBox>
          </w:ffData>
        </w:fldChar>
      </w:r>
      <w:r w:rsidR="00C34D71" w:rsidRPr="00C34D71">
        <w:rPr>
          <w:rFonts w:ascii="Times New Roman" w:eastAsia="Times New Roman" w:hAnsi="Times New Roman"/>
          <w:sz w:val="24"/>
          <w:szCs w:val="20"/>
          <w:lang w:val="sk-SK"/>
        </w:rPr>
        <w:instrText xml:space="preserve"> FORMCHECKBOX </w:instrText>
      </w:r>
      <w:r w:rsidR="00D956D7">
        <w:rPr>
          <w:rFonts w:ascii="Times New Roman" w:eastAsia="Times New Roman" w:hAnsi="Times New Roman"/>
          <w:sz w:val="24"/>
          <w:szCs w:val="20"/>
          <w:lang w:val="sk-SK"/>
        </w:rPr>
      </w:r>
      <w:r w:rsidR="00D956D7">
        <w:rPr>
          <w:rFonts w:ascii="Times New Roman" w:eastAsia="Times New Roman" w:hAnsi="Times New Roman"/>
          <w:sz w:val="24"/>
          <w:szCs w:val="20"/>
          <w:lang w:val="sk-SK"/>
        </w:rPr>
        <w:fldChar w:fldCharType="separate"/>
      </w:r>
      <w:r w:rsidR="00C34D71" w:rsidRPr="00C34D71">
        <w:rPr>
          <w:rFonts w:ascii="Times New Roman" w:eastAsia="Times New Roman" w:hAnsi="Times New Roman"/>
          <w:sz w:val="24"/>
          <w:szCs w:val="20"/>
          <w:lang w:val="sk-SK"/>
        </w:rPr>
        <w:fldChar w:fldCharType="end"/>
      </w:r>
      <w:r w:rsidR="00C34D71" w:rsidRPr="00C34D71">
        <w:rPr>
          <w:rFonts w:ascii="Times New Roman" w:eastAsia="Times New Roman" w:hAnsi="Times New Roman"/>
          <w:sz w:val="24"/>
          <w:szCs w:val="20"/>
          <w:lang w:val="sk-SK"/>
        </w:rPr>
        <w:tab/>
        <w:t>na základe voľného uváženia na základe rozhodnutia orgánov.</w:t>
      </w:r>
    </w:p>
    <w:p w:rsidR="00C34D71" w:rsidRPr="00C34D71" w:rsidRDefault="00C34D71" w:rsidP="00C34D71">
      <w:pPr>
        <w:spacing w:before="240" w:after="120" w:line="240" w:lineRule="auto"/>
        <w:ind w:left="1440"/>
        <w:jc w:val="both"/>
        <w:rPr>
          <w:rFonts w:ascii="Times New Roman" w:hAnsi="Times New Roman"/>
          <w:sz w:val="24"/>
          <w:lang w:val="sk-SK"/>
        </w:rPr>
      </w:pPr>
      <w:r w:rsidRPr="00C34D71">
        <w:rPr>
          <w:rFonts w:ascii="Times New Roman" w:hAnsi="Times New Roman"/>
          <w:sz w:val="24"/>
          <w:lang w:val="sk-SK"/>
        </w:rPr>
        <w:t>Ak sa pomoc poskytne na základe individuálneho posúdenia, uveďte stručný popis kritérií, ktoré sa uplatnia na výber,  a priložte kópiu administratívnych usmernení, ktoré sa vzťahujú na poskytnutie pomoci:</w:t>
      </w:r>
    </w:p>
    <w:p w:rsidR="00C34D71" w:rsidRPr="00C34D71" w:rsidRDefault="00C34D71" w:rsidP="00C34D71">
      <w:pPr>
        <w:tabs>
          <w:tab w:val="left" w:leader="dot" w:pos="9072"/>
        </w:tabs>
        <w:spacing w:before="240" w:after="120" w:line="240" w:lineRule="auto"/>
        <w:ind w:left="1440"/>
        <w:jc w:val="both"/>
        <w:rPr>
          <w:rFonts w:ascii="Times New Roman" w:hAnsi="Times New Roman"/>
          <w:sz w:val="24"/>
          <w:lang w:val="sk-SK"/>
        </w:rPr>
      </w:pPr>
      <w:r w:rsidRPr="00C34D71">
        <w:rPr>
          <w:rFonts w:ascii="Times New Roman" w:hAnsi="Times New Roman"/>
          <w:sz w:val="24"/>
          <w:lang w:val="sk-SK"/>
        </w:rPr>
        <w:tab/>
      </w:r>
    </w:p>
    <w:p w:rsidR="00C34D71" w:rsidRPr="00C34D71" w:rsidRDefault="00C34D71" w:rsidP="00C34D71">
      <w:pPr>
        <w:numPr>
          <w:ilvl w:val="1"/>
          <w:numId w:val="2"/>
        </w:numPr>
        <w:spacing w:before="100" w:beforeAutospacing="1" w:after="100" w:afterAutospacing="1" w:line="240" w:lineRule="auto"/>
        <w:ind w:hanging="792"/>
        <w:contextualSpacing/>
        <w:jc w:val="both"/>
        <w:rPr>
          <w:rFonts w:ascii="Times New Roman" w:hAnsi="Times New Roman"/>
          <w:b/>
          <w:sz w:val="24"/>
          <w:szCs w:val="20"/>
          <w:lang w:val="sk-SK" w:eastAsia="sk-SK" w:bidi="sk-SK"/>
        </w:rPr>
      </w:pPr>
      <w:r w:rsidRPr="00C34D71">
        <w:rPr>
          <w:rFonts w:ascii="Times New Roman" w:hAnsi="Times New Roman"/>
          <w:b/>
          <w:sz w:val="24"/>
          <w:szCs w:val="20"/>
          <w:lang w:val="sk-SK" w:eastAsia="sk-SK" w:bidi="sk-SK"/>
        </w:rPr>
        <w:t>Bude schéma pomoci spolufinancovaná z EŠIF? Ak áno, vysvetlite, z ktorých operačných programov EŠIF sa získajú finančné prostriedky. Uveďte aj sumu finančných prostriedkov z EŠIF, z ktorých sa bude pomoc čerpať.</w:t>
      </w:r>
    </w:p>
    <w:p w:rsidR="00C34D71" w:rsidRPr="00C34D71" w:rsidRDefault="00C34D71" w:rsidP="00C34D71">
      <w:pPr>
        <w:tabs>
          <w:tab w:val="left" w:leader="dot" w:pos="9072"/>
        </w:tabs>
        <w:spacing w:before="240" w:after="120" w:line="240" w:lineRule="auto"/>
        <w:ind w:left="709"/>
        <w:jc w:val="both"/>
        <w:rPr>
          <w:rFonts w:ascii="Times New Roman" w:hAnsi="Times New Roman"/>
          <w:sz w:val="24"/>
          <w:lang w:val="sk-SK"/>
        </w:rPr>
      </w:pPr>
      <w:r w:rsidRPr="00C34D71">
        <w:rPr>
          <w:rFonts w:ascii="Times New Roman" w:hAnsi="Times New Roman"/>
          <w:sz w:val="24"/>
          <w:lang w:val="sk-SK"/>
        </w:rPr>
        <w:tab/>
      </w:r>
    </w:p>
    <w:p w:rsidR="00C34D71" w:rsidRPr="00C34D71" w:rsidRDefault="00C34D71" w:rsidP="00C34D71">
      <w:pPr>
        <w:spacing w:before="120" w:after="120" w:line="240" w:lineRule="auto"/>
        <w:jc w:val="both"/>
        <w:rPr>
          <w:rFonts w:ascii="Times New Roman" w:hAnsi="Times New Roman"/>
          <w:sz w:val="24"/>
          <w:lang w:val="sk-SK"/>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C34D71" w:rsidRPr="00C34D71" w:rsidTr="004E038F">
        <w:tc>
          <w:tcPr>
            <w:tcW w:w="9180" w:type="dxa"/>
            <w:tcBorders>
              <w:top w:val="single" w:sz="4" w:space="0" w:color="auto"/>
              <w:bottom w:val="single" w:sz="4" w:space="0" w:color="auto"/>
            </w:tcBorders>
            <w:shd w:val="pct15" w:color="auto" w:fill="FFFFFF"/>
          </w:tcPr>
          <w:p w:rsidR="00C34D71" w:rsidRPr="00C34D71" w:rsidRDefault="00C34D71" w:rsidP="00C34D71">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C34D71">
              <w:rPr>
                <w:rFonts w:ascii="Times New Roman" w:eastAsia="Times New Roman" w:hAnsi="Times New Roman"/>
                <w:bCs/>
                <w:iCs/>
                <w:sz w:val="24"/>
                <w:lang w:val="sk-SK"/>
              </w:rPr>
              <w:lastRenderedPageBreak/>
              <w:br w:type="page"/>
              <w:t xml:space="preserve">Zlučiteľnosť pomoci </w:t>
            </w:r>
          </w:p>
        </w:tc>
      </w:tr>
    </w:tbl>
    <w:p w:rsidR="00C34D71" w:rsidRPr="00C34D71" w:rsidRDefault="00C34D71" w:rsidP="00C34D71">
      <w:pPr>
        <w:keepNext/>
        <w:spacing w:before="120" w:after="120" w:line="240" w:lineRule="auto"/>
        <w:jc w:val="both"/>
        <w:rPr>
          <w:rFonts w:ascii="Times New Roman" w:hAnsi="Times New Roman"/>
          <w:sz w:val="24"/>
          <w:lang w:val="sk-SK"/>
        </w:rPr>
      </w:pPr>
    </w:p>
    <w:p w:rsidR="00C34D71" w:rsidRPr="00C34D71" w:rsidRDefault="00C34D71" w:rsidP="00C34D71">
      <w:pPr>
        <w:keepNext/>
        <w:numPr>
          <w:ilvl w:val="1"/>
          <w:numId w:val="1"/>
        </w:numPr>
        <w:spacing w:before="120" w:after="0" w:line="240" w:lineRule="auto"/>
        <w:ind w:left="709" w:hanging="792"/>
        <w:contextualSpacing/>
        <w:jc w:val="both"/>
        <w:rPr>
          <w:rFonts w:ascii="Times New Roman" w:hAnsi="Times New Roman"/>
          <w:b/>
          <w:sz w:val="24"/>
          <w:szCs w:val="20"/>
          <w:lang w:val="sk-SK" w:eastAsia="sk-SK" w:bidi="sk-SK"/>
        </w:rPr>
      </w:pPr>
      <w:r w:rsidRPr="00C34D71">
        <w:rPr>
          <w:rFonts w:ascii="Times New Roman" w:hAnsi="Times New Roman"/>
          <w:b/>
          <w:sz w:val="24"/>
          <w:szCs w:val="20"/>
          <w:lang w:val="sk-SK" w:eastAsia="sk-SK" w:bidi="sk-SK"/>
        </w:rPr>
        <w:t>Príspevok k regionálnemu cieľu a stimulačný účinok:</w:t>
      </w:r>
    </w:p>
    <w:p w:rsidR="00C34D71" w:rsidRPr="00C34D71" w:rsidRDefault="00C34D71" w:rsidP="00C34D71">
      <w:pPr>
        <w:keepNext/>
        <w:numPr>
          <w:ilvl w:val="1"/>
          <w:numId w:val="0"/>
        </w:numPr>
        <w:tabs>
          <w:tab w:val="num" w:pos="850"/>
        </w:tabs>
        <w:spacing w:before="240" w:after="120" w:line="240" w:lineRule="auto"/>
        <w:ind w:left="720"/>
        <w:jc w:val="both"/>
        <w:rPr>
          <w:rFonts w:ascii="Times New Roman" w:hAnsi="Times New Roman"/>
          <w:b/>
          <w:i/>
          <w:sz w:val="24"/>
          <w:lang w:val="sk-SK"/>
        </w:rPr>
      </w:pPr>
      <w:r w:rsidRPr="00C34D71">
        <w:rPr>
          <w:rFonts w:ascii="Times New Roman" w:hAnsi="Times New Roman"/>
          <w:b/>
          <w:i/>
          <w:sz w:val="24"/>
          <w:lang w:val="sk-SK"/>
        </w:rPr>
        <w:t>V prípade pomoci na obmedzenie určitých špecifických ťažkostí, ktorým čelia MSP</w:t>
      </w:r>
      <w:r w:rsidRPr="00C34D71">
        <w:rPr>
          <w:rFonts w:ascii="Times New Roman" w:hAnsi="Times New Roman"/>
          <w:b/>
          <w:i/>
          <w:sz w:val="24"/>
          <w:vertAlign w:val="superscript"/>
          <w:lang w:val="sk-SK"/>
        </w:rPr>
        <w:footnoteReference w:id="6"/>
      </w:r>
      <w:r w:rsidRPr="00C34D71">
        <w:rPr>
          <w:rFonts w:ascii="Times New Roman" w:hAnsi="Times New Roman"/>
          <w:b/>
          <w:i/>
          <w:sz w:val="24"/>
          <w:lang w:val="sk-SK"/>
        </w:rPr>
        <w:t xml:space="preserve"> v oblastiach „a“:</w:t>
      </w:r>
    </w:p>
    <w:p w:rsidR="00C34D71" w:rsidRPr="00C34D71" w:rsidRDefault="00C34D71" w:rsidP="00C34D71">
      <w:pPr>
        <w:numPr>
          <w:ilvl w:val="2"/>
          <w:numId w:val="3"/>
        </w:numPr>
        <w:spacing w:before="120" w:after="0" w:line="240" w:lineRule="auto"/>
        <w:contextualSpacing/>
        <w:jc w:val="both"/>
        <w:rPr>
          <w:rFonts w:ascii="Times New Roman" w:hAnsi="Times New Roman"/>
          <w:sz w:val="24"/>
          <w:szCs w:val="20"/>
          <w:lang w:val="sk-SK" w:eastAsia="sk-SK" w:bidi="sk-SK"/>
        </w:rPr>
      </w:pPr>
      <w:r w:rsidRPr="00C34D71">
        <w:rPr>
          <w:rFonts w:ascii="Times New Roman" w:hAnsi="Times New Roman"/>
          <w:sz w:val="24"/>
          <w:szCs w:val="20"/>
          <w:lang w:val="sk-SK" w:eastAsia="sk-SK" w:bidi="sk-SK"/>
        </w:rPr>
        <w:t>Vymedzte špecifické ťažkosti, ktorým čelia MSP v príslušnom regióne a ktoré sa majú riešiť v rámci schémy (bod 43 usmernení o regionálnej štátnej pomoci), a preukážte existenciu a dôležitosť týchto ťažkostí (bod 44 usmernení o regionálnej štátnej pomoci).</w:t>
      </w:r>
    </w:p>
    <w:p w:rsidR="00C34D71" w:rsidRPr="00C34D71" w:rsidRDefault="00C34D71" w:rsidP="00C34D71">
      <w:pPr>
        <w:tabs>
          <w:tab w:val="left" w:leader="dot" w:pos="9072"/>
        </w:tabs>
        <w:spacing w:after="0" w:line="240" w:lineRule="auto"/>
        <w:ind w:left="122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numPr>
          <w:ilvl w:val="2"/>
          <w:numId w:val="3"/>
        </w:numPr>
        <w:spacing w:before="120" w:after="0" w:line="240" w:lineRule="auto"/>
        <w:contextualSpacing/>
        <w:jc w:val="both"/>
        <w:rPr>
          <w:rFonts w:ascii="Times New Roman" w:hAnsi="Times New Roman"/>
          <w:sz w:val="24"/>
          <w:szCs w:val="20"/>
          <w:lang w:val="sk-SK" w:eastAsia="sk-SK" w:bidi="sk-SK"/>
        </w:rPr>
      </w:pPr>
      <w:r w:rsidRPr="00C34D71">
        <w:rPr>
          <w:rFonts w:ascii="Times New Roman" w:hAnsi="Times New Roman"/>
          <w:sz w:val="24"/>
          <w:szCs w:val="20"/>
          <w:lang w:val="sk-SK" w:eastAsia="sk-SK" w:bidi="sk-SK"/>
        </w:rPr>
        <w:t>Vysvetlite, prečo tieto ťažkosti uvedené v bode 3.1.1 nemožno prekonať investičnou pomocou a preto je potrebná notifikovaná schéma prevádzkovej pomoci (bod 44 usmernení o regionálnej štátnej pomoci):</w:t>
      </w:r>
    </w:p>
    <w:p w:rsidR="00C34D71" w:rsidRPr="00C34D71" w:rsidRDefault="00C34D71" w:rsidP="00C34D71">
      <w:pPr>
        <w:tabs>
          <w:tab w:val="left" w:leader="dot" w:pos="9072"/>
        </w:tabs>
        <w:spacing w:after="0" w:line="240" w:lineRule="auto"/>
        <w:ind w:left="122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numPr>
          <w:ilvl w:val="1"/>
          <w:numId w:val="0"/>
        </w:numPr>
        <w:tabs>
          <w:tab w:val="num" w:pos="850"/>
        </w:tabs>
        <w:spacing w:before="240" w:after="120" w:line="240" w:lineRule="auto"/>
        <w:ind w:left="720"/>
        <w:jc w:val="both"/>
        <w:rPr>
          <w:rFonts w:ascii="Times New Roman" w:hAnsi="Times New Roman"/>
          <w:b/>
          <w:i/>
          <w:sz w:val="24"/>
          <w:lang w:val="sk-SK"/>
        </w:rPr>
      </w:pPr>
      <w:r w:rsidRPr="00C34D71">
        <w:rPr>
          <w:rFonts w:ascii="Times New Roman" w:hAnsi="Times New Roman"/>
          <w:b/>
          <w:i/>
          <w:sz w:val="24"/>
          <w:lang w:val="sk-SK"/>
        </w:rPr>
        <w:t>V prípade pomoci na kompenzáciu dodatočných nákladov v najvzdialenejších regiónoch:</w:t>
      </w:r>
    </w:p>
    <w:p w:rsidR="00C34D71" w:rsidRPr="00C34D71" w:rsidRDefault="00C34D71" w:rsidP="00C34D71">
      <w:pPr>
        <w:numPr>
          <w:ilvl w:val="2"/>
          <w:numId w:val="3"/>
        </w:numPr>
        <w:spacing w:before="120" w:after="0" w:line="240" w:lineRule="auto"/>
        <w:contextualSpacing/>
        <w:jc w:val="both"/>
        <w:rPr>
          <w:rFonts w:ascii="Times New Roman" w:hAnsi="Times New Roman"/>
          <w:sz w:val="24"/>
          <w:szCs w:val="20"/>
          <w:lang w:val="sk-SK" w:eastAsia="sk-SK" w:bidi="sk-SK"/>
        </w:rPr>
      </w:pPr>
      <w:r w:rsidRPr="00C34D71">
        <w:rPr>
          <w:rFonts w:ascii="Times New Roman" w:hAnsi="Times New Roman"/>
          <w:sz w:val="24"/>
          <w:szCs w:val="20"/>
          <w:lang w:val="sk-SK" w:eastAsia="sk-SK" w:bidi="sk-SK"/>
        </w:rPr>
        <w:t>Uveďte konkrétne dodatočné náklady</w:t>
      </w:r>
      <w:r w:rsidRPr="00C34D71">
        <w:rPr>
          <w:rFonts w:ascii="Times New Roman" w:hAnsi="Times New Roman"/>
          <w:sz w:val="24"/>
          <w:szCs w:val="20"/>
          <w:vertAlign w:val="superscript"/>
          <w:lang w:val="sk-SK" w:eastAsia="sk-SK" w:bidi="sk-SK"/>
        </w:rPr>
        <w:footnoteReference w:id="7"/>
      </w:r>
      <w:r w:rsidRPr="00C34D71">
        <w:rPr>
          <w:rFonts w:ascii="Times New Roman" w:hAnsi="Times New Roman"/>
          <w:sz w:val="24"/>
          <w:szCs w:val="20"/>
          <w:lang w:val="sk-SK" w:eastAsia="sk-SK" w:bidi="sk-SK"/>
        </w:rPr>
        <w:t>, ktoré budú v rámci schémy kompenzované, a preukážte, ako tieto náklady súvisia so stálymi znevýhodneniami stanoveným v článku 349 ZFEÚ (bod 45 usmernení o regionálnej štátnej pomoci):</w:t>
      </w:r>
    </w:p>
    <w:p w:rsidR="00C34D71" w:rsidRPr="00C34D71" w:rsidRDefault="00C34D71" w:rsidP="00C34D71">
      <w:pPr>
        <w:tabs>
          <w:tab w:val="left" w:leader="dot" w:pos="9072"/>
        </w:tabs>
        <w:spacing w:after="0" w:line="240" w:lineRule="auto"/>
        <w:ind w:left="122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lastRenderedPageBreak/>
        <w:tab/>
      </w:r>
    </w:p>
    <w:p w:rsidR="00C34D71" w:rsidRPr="00C34D71" w:rsidRDefault="00C34D71" w:rsidP="00C34D71">
      <w:pPr>
        <w:numPr>
          <w:ilvl w:val="1"/>
          <w:numId w:val="0"/>
        </w:numPr>
        <w:tabs>
          <w:tab w:val="num" w:pos="850"/>
        </w:tabs>
        <w:spacing w:before="240" w:after="120" w:line="240" w:lineRule="auto"/>
        <w:ind w:left="720"/>
        <w:jc w:val="both"/>
        <w:rPr>
          <w:rFonts w:ascii="Times New Roman" w:hAnsi="Times New Roman"/>
          <w:b/>
          <w:i/>
          <w:sz w:val="24"/>
          <w:lang w:val="sk-SK"/>
        </w:rPr>
      </w:pPr>
      <w:r w:rsidRPr="00C34D71">
        <w:rPr>
          <w:rFonts w:ascii="Times New Roman" w:hAnsi="Times New Roman"/>
          <w:b/>
          <w:i/>
          <w:sz w:val="24"/>
          <w:lang w:val="sk-SK"/>
        </w:rPr>
        <w:t>V prípade pomoci na zamedzenie úbytku obyvateľstva vo veľmi riedko osídlených oblastiach:</w:t>
      </w:r>
    </w:p>
    <w:p w:rsidR="00C34D71" w:rsidRPr="00C34D71" w:rsidRDefault="00C34D71" w:rsidP="00C34D71">
      <w:pPr>
        <w:numPr>
          <w:ilvl w:val="2"/>
          <w:numId w:val="3"/>
        </w:numPr>
        <w:spacing w:before="120" w:after="0" w:line="240" w:lineRule="auto"/>
        <w:contextualSpacing/>
        <w:jc w:val="both"/>
        <w:rPr>
          <w:rFonts w:ascii="Times New Roman" w:hAnsi="Times New Roman"/>
          <w:sz w:val="24"/>
          <w:szCs w:val="20"/>
          <w:lang w:val="sk-SK" w:eastAsia="sk-SK" w:bidi="sk-SK"/>
        </w:rPr>
      </w:pPr>
      <w:r w:rsidRPr="00C34D71">
        <w:rPr>
          <w:rFonts w:ascii="Times New Roman" w:hAnsi="Times New Roman"/>
          <w:sz w:val="24"/>
          <w:szCs w:val="20"/>
          <w:lang w:val="sk-SK" w:eastAsia="sk-SK" w:bidi="sk-SK"/>
        </w:rPr>
        <w:t>Preukážte riziko úbytku obyvateľstva v príslušnej oblasti v prípade neposkytnutia prevádzkovej pomoci (bod 46 usmernení o regionálnej štátnej pomoci):</w:t>
      </w:r>
    </w:p>
    <w:p w:rsidR="00C34D71" w:rsidRPr="00C34D71" w:rsidRDefault="00C34D71" w:rsidP="00C34D71">
      <w:pPr>
        <w:tabs>
          <w:tab w:val="left" w:leader="dot" w:pos="9072"/>
        </w:tabs>
        <w:spacing w:after="0" w:line="240" w:lineRule="auto"/>
        <w:ind w:left="122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numPr>
          <w:ilvl w:val="1"/>
          <w:numId w:val="1"/>
        </w:numPr>
        <w:spacing w:before="120" w:after="0" w:line="240" w:lineRule="auto"/>
        <w:ind w:left="709" w:hanging="792"/>
        <w:contextualSpacing/>
        <w:jc w:val="both"/>
        <w:rPr>
          <w:rFonts w:ascii="Times New Roman" w:hAnsi="Times New Roman"/>
          <w:b/>
          <w:sz w:val="24"/>
          <w:szCs w:val="20"/>
          <w:lang w:val="sk-SK" w:eastAsia="sk-SK" w:bidi="sk-SK"/>
        </w:rPr>
      </w:pPr>
      <w:r w:rsidRPr="00C34D71">
        <w:rPr>
          <w:rFonts w:ascii="Times New Roman" w:hAnsi="Times New Roman"/>
          <w:b/>
          <w:sz w:val="24"/>
          <w:szCs w:val="20"/>
          <w:lang w:val="sk-SK" w:eastAsia="sk-SK" w:bidi="sk-SK"/>
        </w:rPr>
        <w:t>Vhodnosť schémy</w:t>
      </w:r>
    </w:p>
    <w:p w:rsidR="00C34D71" w:rsidRPr="00C34D71" w:rsidRDefault="00C34D71" w:rsidP="00C34D71">
      <w:pPr>
        <w:numPr>
          <w:ilvl w:val="1"/>
          <w:numId w:val="0"/>
        </w:numPr>
        <w:tabs>
          <w:tab w:val="left" w:pos="720"/>
          <w:tab w:val="num" w:pos="850"/>
          <w:tab w:val="left" w:pos="1077"/>
          <w:tab w:val="left" w:pos="1440"/>
          <w:tab w:val="left" w:pos="1797"/>
        </w:tabs>
        <w:spacing w:before="240" w:after="120" w:line="240" w:lineRule="auto"/>
        <w:ind w:left="1440"/>
        <w:jc w:val="both"/>
        <w:rPr>
          <w:rFonts w:ascii="Times New Roman" w:hAnsi="Times New Roman"/>
          <w:sz w:val="24"/>
          <w:lang w:val="sk-SK"/>
        </w:rPr>
      </w:pPr>
      <w:r w:rsidRPr="00C34D71">
        <w:rPr>
          <w:rFonts w:ascii="Times New Roman" w:hAnsi="Times New Roman"/>
          <w:sz w:val="24"/>
          <w:lang w:val="sk-SK"/>
        </w:rPr>
        <w:t>Uveďte, prečo sa navrhovaná pomoc považuje za vhodnú na dosiahnutie cieľa schémy. Uveďte najmä, prečo iné menej rušivé politické nástroje alebo iné menej rušivé druhy nástroja pomoci nie sú vhodné na dosiahnutie rovnakého pozitívneho príspevku k regionálnemu rozvoju (body 50, 56, 57 a 58 usmernení o regionálnej štátnej pomoci):</w:t>
      </w:r>
    </w:p>
    <w:p w:rsidR="00C34D71" w:rsidRPr="00C34D71" w:rsidRDefault="00C34D71" w:rsidP="00C34D71">
      <w:pPr>
        <w:tabs>
          <w:tab w:val="left" w:leader="dot" w:pos="9072"/>
        </w:tabs>
        <w:spacing w:after="0" w:line="240" w:lineRule="auto"/>
        <w:ind w:left="122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keepNext/>
        <w:numPr>
          <w:ilvl w:val="1"/>
          <w:numId w:val="1"/>
        </w:numPr>
        <w:spacing w:before="120" w:after="0" w:line="240" w:lineRule="auto"/>
        <w:ind w:left="709" w:hanging="792"/>
        <w:contextualSpacing/>
        <w:jc w:val="both"/>
        <w:rPr>
          <w:rFonts w:ascii="Times New Roman" w:hAnsi="Times New Roman"/>
          <w:b/>
          <w:sz w:val="24"/>
          <w:szCs w:val="20"/>
          <w:lang w:val="sk-SK" w:eastAsia="sk-SK" w:bidi="sk-SK"/>
        </w:rPr>
      </w:pPr>
      <w:r w:rsidRPr="00C34D71">
        <w:rPr>
          <w:rFonts w:ascii="Times New Roman" w:hAnsi="Times New Roman"/>
          <w:b/>
          <w:sz w:val="24"/>
          <w:szCs w:val="20"/>
          <w:lang w:val="sk-SK" w:eastAsia="sk-SK" w:bidi="sk-SK"/>
        </w:rPr>
        <w:t>Proporcionalita schémy</w:t>
      </w:r>
    </w:p>
    <w:p w:rsidR="00C34D71" w:rsidRPr="00C34D71" w:rsidRDefault="00C34D71" w:rsidP="00C34D71">
      <w:pPr>
        <w:keepNext/>
        <w:numPr>
          <w:ilvl w:val="1"/>
          <w:numId w:val="0"/>
        </w:numPr>
        <w:tabs>
          <w:tab w:val="num" w:pos="850"/>
        </w:tabs>
        <w:spacing w:before="240" w:after="120" w:line="240" w:lineRule="auto"/>
        <w:ind w:left="720"/>
        <w:jc w:val="both"/>
        <w:rPr>
          <w:rFonts w:ascii="Times New Roman" w:hAnsi="Times New Roman"/>
          <w:b/>
          <w:i/>
          <w:sz w:val="24"/>
          <w:lang w:val="sk-SK"/>
        </w:rPr>
      </w:pPr>
      <w:r w:rsidRPr="00C34D71">
        <w:rPr>
          <w:rFonts w:ascii="Times New Roman" w:hAnsi="Times New Roman"/>
          <w:b/>
          <w:i/>
          <w:sz w:val="24"/>
          <w:lang w:val="sk-SK"/>
        </w:rPr>
        <w:t>Pre všetky typy prevádzkovej pomoci:</w:t>
      </w:r>
    </w:p>
    <w:p w:rsidR="00C34D71" w:rsidRPr="00C34D71" w:rsidRDefault="00C34D71" w:rsidP="00C34D71">
      <w:pPr>
        <w:numPr>
          <w:ilvl w:val="2"/>
          <w:numId w:val="1"/>
        </w:numPr>
        <w:spacing w:before="120" w:after="0" w:line="240" w:lineRule="auto"/>
        <w:contextualSpacing/>
        <w:jc w:val="both"/>
        <w:rPr>
          <w:rFonts w:ascii="Times New Roman" w:hAnsi="Times New Roman"/>
          <w:sz w:val="24"/>
          <w:szCs w:val="20"/>
          <w:lang w:val="sk-SK" w:eastAsia="sk-SK" w:bidi="sk-SK"/>
        </w:rPr>
      </w:pPr>
      <w:r w:rsidRPr="00C34D71">
        <w:rPr>
          <w:rFonts w:ascii="Times New Roman" w:hAnsi="Times New Roman"/>
          <w:sz w:val="24"/>
          <w:szCs w:val="20"/>
          <w:lang w:val="sk-SK" w:eastAsia="sk-SK" w:bidi="sk-SK"/>
        </w:rPr>
        <w:t>Určite oprávnené náklady, ktoré možno úplne priradiť k problémom, ktoré má pomoc riešiť (bod 109 usmernení o regionálnej štátnej pomoci):</w:t>
      </w:r>
    </w:p>
    <w:p w:rsidR="00C34D71" w:rsidRPr="00C34D71" w:rsidRDefault="00C34D71" w:rsidP="00C34D71">
      <w:pPr>
        <w:tabs>
          <w:tab w:val="left" w:leader="dot" w:pos="9072"/>
        </w:tabs>
        <w:spacing w:after="0" w:line="240" w:lineRule="auto"/>
        <w:ind w:left="122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numPr>
          <w:ilvl w:val="2"/>
          <w:numId w:val="1"/>
        </w:numPr>
        <w:spacing w:before="120" w:after="0" w:line="240" w:lineRule="auto"/>
        <w:contextualSpacing/>
        <w:jc w:val="both"/>
        <w:rPr>
          <w:rFonts w:ascii="Times New Roman" w:hAnsi="Times New Roman"/>
          <w:sz w:val="24"/>
          <w:szCs w:val="20"/>
          <w:lang w:val="sk-SK" w:eastAsia="sk-SK" w:bidi="sk-SK"/>
        </w:rPr>
      </w:pPr>
      <w:r w:rsidRPr="00C34D71">
        <w:rPr>
          <w:rFonts w:ascii="Times New Roman" w:hAnsi="Times New Roman"/>
          <w:sz w:val="24"/>
          <w:szCs w:val="20"/>
          <w:lang w:val="sk-SK" w:eastAsia="sk-SK" w:bidi="sk-SK"/>
        </w:rPr>
        <w:t>Potvrďte, že odpisy a náklady na financovanie, ktoré už boli zahrnuté v príslušných oprávnených nákladoch na regionálnu investičnú pomoc, nebudú zahrnuté do oprávnených nákladov na prevádzkovú pomoc (bod 109 usmernení o regionálnej štátnej pomoci), a uveďte odkaz na príslušné ustanovenie právneho základu:</w:t>
      </w:r>
    </w:p>
    <w:p w:rsidR="00C34D71" w:rsidRPr="00C34D71" w:rsidRDefault="00C34D71" w:rsidP="00C34D71">
      <w:pPr>
        <w:tabs>
          <w:tab w:val="left" w:leader="dot" w:pos="9072"/>
        </w:tabs>
        <w:spacing w:after="0" w:line="240" w:lineRule="auto"/>
        <w:ind w:left="122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numPr>
          <w:ilvl w:val="2"/>
          <w:numId w:val="1"/>
        </w:numPr>
        <w:spacing w:before="120" w:after="0" w:line="240" w:lineRule="auto"/>
        <w:contextualSpacing/>
        <w:jc w:val="both"/>
        <w:rPr>
          <w:rFonts w:ascii="Times New Roman" w:hAnsi="Times New Roman"/>
          <w:sz w:val="24"/>
          <w:szCs w:val="20"/>
          <w:lang w:val="sk-SK" w:eastAsia="sk-SK" w:bidi="sk-SK"/>
        </w:rPr>
      </w:pPr>
      <w:r w:rsidRPr="00C34D71">
        <w:rPr>
          <w:rFonts w:ascii="Times New Roman" w:hAnsi="Times New Roman"/>
          <w:sz w:val="24"/>
          <w:szCs w:val="20"/>
          <w:lang w:val="sk-SK" w:eastAsia="sk-SK" w:bidi="sk-SK"/>
        </w:rPr>
        <w:lastRenderedPageBreak/>
        <w:t>Opíšte vzor náhrad (bod 56 usmernení o regionálnej štátnej pomoci), ktorý sa prijme, a ako sa týmto vzorom umožní zodpovedajúci výpočet sumy pomoci a zabezpečí sa, že nedôjde k nadmernej kompenzácii, ako je stanovené v bode 109 usmernení o regionálnej štátnej pomoci:</w:t>
      </w:r>
    </w:p>
    <w:p w:rsidR="00C34D71" w:rsidRPr="00C34D71" w:rsidRDefault="00C34D71" w:rsidP="00C34D71">
      <w:pPr>
        <w:tabs>
          <w:tab w:val="left" w:leader="dot" w:pos="9072"/>
        </w:tabs>
        <w:spacing w:after="0" w:line="240" w:lineRule="auto"/>
        <w:ind w:left="122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numPr>
          <w:ilvl w:val="2"/>
          <w:numId w:val="1"/>
        </w:numPr>
        <w:spacing w:before="120" w:after="0" w:line="240" w:lineRule="auto"/>
        <w:contextualSpacing/>
        <w:jc w:val="both"/>
        <w:rPr>
          <w:rFonts w:ascii="Times New Roman" w:hAnsi="Times New Roman"/>
          <w:sz w:val="24"/>
          <w:szCs w:val="20"/>
          <w:lang w:val="sk-SK" w:eastAsia="sk-SK" w:bidi="sk-SK"/>
        </w:rPr>
      </w:pPr>
      <w:r w:rsidRPr="00C34D71">
        <w:rPr>
          <w:rFonts w:ascii="Times New Roman" w:hAnsi="Times New Roman"/>
          <w:sz w:val="24"/>
          <w:szCs w:val="20"/>
          <w:lang w:val="sk-SK" w:eastAsia="sk-SK" w:bidi="sk-SK"/>
        </w:rPr>
        <w:t>Uveďte, či je prevádzková pomoc poskytovaná aj prostredníctvom iných schém prevádzkovej pomoci v regióne, uvedením príslušného odkazu na tieto schémy štátnej pomoci.</w:t>
      </w:r>
    </w:p>
    <w:p w:rsidR="00C34D71" w:rsidRPr="00C34D71" w:rsidRDefault="00C34D71" w:rsidP="00C34D71">
      <w:pPr>
        <w:tabs>
          <w:tab w:val="left" w:leader="dot" w:pos="9072"/>
        </w:tabs>
        <w:spacing w:after="0" w:line="240" w:lineRule="auto"/>
        <w:ind w:left="122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numPr>
          <w:ilvl w:val="2"/>
          <w:numId w:val="1"/>
        </w:numPr>
        <w:spacing w:before="120" w:after="0" w:line="240" w:lineRule="auto"/>
        <w:contextualSpacing/>
        <w:jc w:val="both"/>
        <w:rPr>
          <w:rFonts w:ascii="Times New Roman" w:hAnsi="Times New Roman"/>
          <w:sz w:val="24"/>
          <w:szCs w:val="20"/>
          <w:lang w:val="sk-SK" w:eastAsia="sk-SK" w:bidi="sk-SK"/>
        </w:rPr>
      </w:pPr>
      <w:r w:rsidRPr="00C34D71">
        <w:rPr>
          <w:rFonts w:ascii="Times New Roman" w:hAnsi="Times New Roman"/>
          <w:sz w:val="24"/>
          <w:szCs w:val="20"/>
          <w:lang w:val="sk-SK" w:eastAsia="sk-SK" w:bidi="sk-SK"/>
        </w:rPr>
        <w:t>V prípade, že sa v rovnakom regióne uplatňujú iné schémy prevádzkovej pomoci, vysvetlite, ako je zabezpečené, že prevádzková pomoc poskytovaná v rámci rôznych schém prevádzkovej pomoci nepovedie k nadmernej kompenzácii:</w:t>
      </w:r>
    </w:p>
    <w:p w:rsidR="00C34D71" w:rsidRPr="00C34D71" w:rsidRDefault="00C34D71" w:rsidP="00C34D71">
      <w:pPr>
        <w:tabs>
          <w:tab w:val="left" w:leader="dot" w:pos="9072"/>
        </w:tabs>
        <w:spacing w:after="0" w:line="240" w:lineRule="auto"/>
        <w:ind w:left="122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numPr>
          <w:ilvl w:val="1"/>
          <w:numId w:val="0"/>
        </w:numPr>
        <w:tabs>
          <w:tab w:val="num" w:pos="850"/>
        </w:tabs>
        <w:spacing w:before="240" w:after="120" w:line="240" w:lineRule="auto"/>
        <w:ind w:left="720"/>
        <w:jc w:val="both"/>
        <w:rPr>
          <w:rFonts w:ascii="Times New Roman" w:hAnsi="Times New Roman"/>
          <w:b/>
          <w:i/>
          <w:sz w:val="24"/>
          <w:lang w:val="sk-SK"/>
        </w:rPr>
      </w:pPr>
      <w:r w:rsidRPr="00C34D71">
        <w:rPr>
          <w:rFonts w:ascii="Times New Roman" w:hAnsi="Times New Roman"/>
          <w:b/>
          <w:i/>
          <w:sz w:val="24"/>
          <w:lang w:val="sk-SK"/>
        </w:rPr>
        <w:t>Len v prípade prevádzkovej pomoci v najvzdialenejších regiónoch:</w:t>
      </w:r>
    </w:p>
    <w:p w:rsidR="00C34D71" w:rsidRPr="00C34D71" w:rsidRDefault="00C34D71" w:rsidP="00C34D71">
      <w:pPr>
        <w:numPr>
          <w:ilvl w:val="2"/>
          <w:numId w:val="1"/>
        </w:numPr>
        <w:spacing w:before="120" w:after="0" w:line="240" w:lineRule="auto"/>
        <w:contextualSpacing/>
        <w:jc w:val="both"/>
        <w:rPr>
          <w:rFonts w:ascii="Times New Roman" w:hAnsi="Times New Roman"/>
          <w:sz w:val="24"/>
          <w:szCs w:val="20"/>
          <w:lang w:val="sk-SK" w:eastAsia="sk-SK" w:bidi="sk-SK"/>
        </w:rPr>
      </w:pPr>
      <w:r w:rsidRPr="00C34D71">
        <w:rPr>
          <w:rFonts w:ascii="Times New Roman" w:hAnsi="Times New Roman"/>
          <w:sz w:val="24"/>
          <w:szCs w:val="20"/>
          <w:lang w:val="sk-SK" w:eastAsia="sk-SK" w:bidi="sk-SK"/>
        </w:rPr>
        <w:t>Preukážte, že dodatočné náklady, ktoré sa majú v rámci notifikovanej schémy kompenzovať, budú kvantifikované vo vzťahu k úrovni nákladov podobnými podnikmi so sídlom v iných regiónoch dotknutého členského štátu (bod 110 usmernení o regionálnej štátnej pomoci):</w:t>
      </w:r>
    </w:p>
    <w:p w:rsidR="00C34D71" w:rsidRPr="00C34D71" w:rsidRDefault="00C34D71" w:rsidP="00C34D71">
      <w:pPr>
        <w:tabs>
          <w:tab w:val="left" w:leader="dot" w:pos="9072"/>
        </w:tabs>
        <w:spacing w:after="0" w:line="240" w:lineRule="auto"/>
        <w:ind w:left="122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numPr>
          <w:ilvl w:val="1"/>
          <w:numId w:val="0"/>
        </w:numPr>
        <w:tabs>
          <w:tab w:val="num" w:pos="850"/>
        </w:tabs>
        <w:spacing w:before="240" w:after="120" w:line="240" w:lineRule="auto"/>
        <w:ind w:left="720"/>
        <w:jc w:val="both"/>
        <w:rPr>
          <w:rFonts w:ascii="Times New Roman" w:hAnsi="Times New Roman"/>
          <w:b/>
          <w:i/>
          <w:sz w:val="24"/>
          <w:lang w:val="sk-SK"/>
        </w:rPr>
      </w:pPr>
      <w:r w:rsidRPr="00C34D71">
        <w:rPr>
          <w:rFonts w:ascii="Times New Roman" w:hAnsi="Times New Roman"/>
          <w:b/>
          <w:i/>
          <w:sz w:val="24"/>
          <w:lang w:val="sk-SK"/>
        </w:rPr>
        <w:t>Len v prípade prevádzkovej pomoci na obmedzenie určitých špecifických ťažkostí, ktorým čelia MSP v oblastiach „a“:</w:t>
      </w:r>
    </w:p>
    <w:p w:rsidR="00C34D71" w:rsidRPr="00C34D71" w:rsidRDefault="00C34D71" w:rsidP="00C34D71">
      <w:pPr>
        <w:numPr>
          <w:ilvl w:val="2"/>
          <w:numId w:val="1"/>
        </w:numPr>
        <w:spacing w:before="120" w:after="0" w:line="240" w:lineRule="auto"/>
        <w:contextualSpacing/>
        <w:jc w:val="both"/>
        <w:rPr>
          <w:rFonts w:ascii="Times New Roman" w:hAnsi="Times New Roman"/>
          <w:sz w:val="24"/>
          <w:szCs w:val="20"/>
          <w:lang w:val="sk-SK" w:eastAsia="sk-SK" w:bidi="sk-SK"/>
        </w:rPr>
      </w:pPr>
      <w:r w:rsidRPr="00C34D71">
        <w:rPr>
          <w:rFonts w:ascii="Times New Roman" w:hAnsi="Times New Roman"/>
          <w:sz w:val="24"/>
          <w:szCs w:val="20"/>
          <w:lang w:val="sk-SK" w:eastAsia="sk-SK" w:bidi="sk-SK"/>
        </w:rPr>
        <w:t>Vysvetlite, ako sa bude úroveň pomoci počas trvania schémy postupne znižovať (bod 111 usmernení o regionálnej štátnej pomoci), a uveďte odkaz na príslušné ustanovenie právneho základu:</w:t>
      </w:r>
    </w:p>
    <w:p w:rsidR="00C34D71" w:rsidRPr="00C34D71" w:rsidRDefault="00C34D71" w:rsidP="00C34D71">
      <w:pPr>
        <w:tabs>
          <w:tab w:val="left" w:leader="dot" w:pos="9072"/>
        </w:tabs>
        <w:spacing w:after="0" w:line="240" w:lineRule="auto"/>
        <w:ind w:left="1224"/>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numPr>
          <w:ilvl w:val="1"/>
          <w:numId w:val="1"/>
        </w:numPr>
        <w:spacing w:before="120" w:after="0" w:line="240" w:lineRule="auto"/>
        <w:ind w:left="709" w:hanging="792"/>
        <w:contextualSpacing/>
        <w:jc w:val="both"/>
        <w:rPr>
          <w:rFonts w:ascii="Times New Roman" w:hAnsi="Times New Roman"/>
          <w:b/>
          <w:sz w:val="24"/>
          <w:szCs w:val="20"/>
          <w:lang w:val="sk-SK" w:eastAsia="sk-SK" w:bidi="sk-SK"/>
        </w:rPr>
      </w:pPr>
      <w:r w:rsidRPr="00C34D71">
        <w:rPr>
          <w:rFonts w:ascii="Times New Roman" w:hAnsi="Times New Roman"/>
          <w:b/>
          <w:sz w:val="24"/>
          <w:szCs w:val="20"/>
          <w:lang w:val="sk-SK" w:eastAsia="sk-SK" w:bidi="sk-SK"/>
        </w:rPr>
        <w:t>Zabránenie neprípustným negatívnym účinkom na hospodársku súťaž a obchod</w:t>
      </w:r>
    </w:p>
    <w:p w:rsidR="00C34D71" w:rsidRPr="00C34D71" w:rsidRDefault="00C34D71" w:rsidP="00C34D71">
      <w:pPr>
        <w:numPr>
          <w:ilvl w:val="1"/>
          <w:numId w:val="0"/>
        </w:numPr>
        <w:tabs>
          <w:tab w:val="num" w:pos="850"/>
        </w:tabs>
        <w:spacing w:before="120" w:after="120" w:line="240" w:lineRule="auto"/>
        <w:ind w:left="720"/>
        <w:jc w:val="both"/>
        <w:rPr>
          <w:rFonts w:ascii="Times New Roman" w:hAnsi="Times New Roman"/>
          <w:sz w:val="24"/>
          <w:lang w:val="sk-SK"/>
        </w:rPr>
      </w:pPr>
      <w:r w:rsidRPr="00C34D71">
        <w:rPr>
          <w:rFonts w:ascii="Times New Roman" w:hAnsi="Times New Roman"/>
          <w:sz w:val="24"/>
          <w:lang w:val="sk-SK"/>
        </w:rPr>
        <w:lastRenderedPageBreak/>
        <w:t>Vysvetlite, prečo je nepravdepodobné, že pomoc poskytovaná v rámci schémy výrazne naruší hospodársku súťaž na trhu (bod 140 usmernení o regionálnej štátnej pomoci):</w:t>
      </w:r>
    </w:p>
    <w:p w:rsidR="00C34D71" w:rsidRPr="00C34D71" w:rsidRDefault="00C34D71" w:rsidP="00C34D71">
      <w:pPr>
        <w:tabs>
          <w:tab w:val="left" w:leader="dot" w:pos="9072"/>
        </w:tabs>
        <w:spacing w:after="0" w:line="240" w:lineRule="auto"/>
        <w:ind w:left="709"/>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spacing w:before="240" w:after="120" w:line="240" w:lineRule="auto"/>
        <w:jc w:val="both"/>
        <w:rPr>
          <w:rFonts w:ascii="Times New Roman" w:hAnsi="Times New Roman" w:cs="Arial Unicode MS"/>
          <w:sz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C34D71" w:rsidRPr="00C34D71" w:rsidTr="004E038F">
        <w:tc>
          <w:tcPr>
            <w:tcW w:w="9214" w:type="dxa"/>
            <w:tcBorders>
              <w:top w:val="single" w:sz="4" w:space="0" w:color="auto"/>
              <w:bottom w:val="single" w:sz="4" w:space="0" w:color="auto"/>
            </w:tcBorders>
            <w:shd w:val="pct15" w:color="auto" w:fill="FFFFFF"/>
          </w:tcPr>
          <w:p w:rsidR="00C34D71" w:rsidRPr="00C34D71" w:rsidRDefault="00C34D71" w:rsidP="00C34D71">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C34D71">
              <w:rPr>
                <w:rFonts w:ascii="Times New Roman" w:eastAsia="Times New Roman" w:hAnsi="Times New Roman"/>
                <w:bCs/>
                <w:iCs/>
                <w:sz w:val="24"/>
                <w:lang w:val="sk-SK"/>
              </w:rPr>
              <w:br w:type="page"/>
            </w:r>
            <w:r w:rsidRPr="00C34D71">
              <w:rPr>
                <w:rFonts w:ascii="Times New Roman" w:eastAsia="Times New Roman" w:hAnsi="Times New Roman"/>
                <w:bCs/>
                <w:iCs/>
                <w:sz w:val="24"/>
                <w:lang w:val="sk-SK"/>
              </w:rPr>
              <w:br w:type="page"/>
              <w:t>Ďalšie informácie</w:t>
            </w:r>
          </w:p>
        </w:tc>
      </w:tr>
    </w:tbl>
    <w:p w:rsidR="00C34D71" w:rsidRPr="00C34D71" w:rsidRDefault="00C34D71" w:rsidP="00C34D71">
      <w:pPr>
        <w:numPr>
          <w:ilvl w:val="2"/>
          <w:numId w:val="0"/>
        </w:numPr>
        <w:tabs>
          <w:tab w:val="num" w:pos="850"/>
        </w:tabs>
        <w:spacing w:before="120" w:after="120" w:line="240" w:lineRule="auto"/>
        <w:ind w:left="850" w:hanging="850"/>
        <w:jc w:val="both"/>
        <w:rPr>
          <w:rFonts w:ascii="Times New Roman" w:hAnsi="Times New Roman"/>
          <w:sz w:val="24"/>
          <w:szCs w:val="24"/>
          <w:lang w:val="sk-SK"/>
        </w:rPr>
      </w:pPr>
    </w:p>
    <w:p w:rsidR="00C34D71" w:rsidRPr="00C34D71" w:rsidRDefault="00C34D71" w:rsidP="00C34D71">
      <w:pPr>
        <w:numPr>
          <w:ilvl w:val="2"/>
          <w:numId w:val="0"/>
        </w:numPr>
        <w:tabs>
          <w:tab w:val="num" w:pos="850"/>
        </w:tabs>
        <w:spacing w:before="120" w:after="120" w:line="240" w:lineRule="auto"/>
        <w:ind w:left="567"/>
        <w:jc w:val="both"/>
        <w:rPr>
          <w:rFonts w:ascii="Times New Roman" w:hAnsi="Times New Roman"/>
          <w:sz w:val="24"/>
          <w:szCs w:val="24"/>
          <w:lang w:val="sk-SK"/>
        </w:rPr>
      </w:pPr>
      <w:r w:rsidRPr="00C34D71">
        <w:rPr>
          <w:rFonts w:ascii="Times New Roman" w:hAnsi="Times New Roman"/>
          <w:sz w:val="24"/>
          <w:lang w:val="sk-SK"/>
        </w:rPr>
        <w:t>Uveďte akékoľvek ďalšie informácie, ktoré sú dôležité na posúdenie notifikovaného opatrenia pomoci podľa usmernení o regionálnej štátnej pomoci:</w:t>
      </w:r>
    </w:p>
    <w:p w:rsidR="00C34D71" w:rsidRPr="00C34D71" w:rsidRDefault="00C34D71" w:rsidP="00C34D71">
      <w:pPr>
        <w:tabs>
          <w:tab w:val="left" w:leader="dot" w:pos="9072"/>
        </w:tabs>
        <w:spacing w:after="0" w:line="240" w:lineRule="auto"/>
        <w:ind w:left="567"/>
        <w:contextualSpacing/>
        <w:rPr>
          <w:rFonts w:ascii="Times New Roman" w:hAnsi="Times New Roman"/>
          <w:sz w:val="24"/>
          <w:szCs w:val="20"/>
          <w:lang w:val="sk-SK" w:eastAsia="sk-SK" w:bidi="sk-SK"/>
        </w:rPr>
      </w:pPr>
      <w:r w:rsidRPr="00C34D71">
        <w:rPr>
          <w:rFonts w:ascii="Times New Roman" w:hAnsi="Times New Roman"/>
          <w:sz w:val="24"/>
          <w:szCs w:val="20"/>
          <w:lang w:val="sk-SK" w:eastAsia="sk-SK" w:bidi="sk-SK"/>
        </w:rPr>
        <w:tab/>
      </w:r>
    </w:p>
    <w:p w:rsidR="00C34D71" w:rsidRPr="00C34D71" w:rsidRDefault="00C34D71" w:rsidP="00C34D71">
      <w:pPr>
        <w:spacing w:before="240" w:after="120" w:line="240" w:lineRule="auto"/>
        <w:ind w:left="567"/>
        <w:jc w:val="both"/>
        <w:rPr>
          <w:rFonts w:ascii="Times New Roman" w:hAnsi="Times New Roman" w:cs="Arial Unicode MS"/>
          <w:sz w:val="24"/>
          <w:lang w:val="sk-SK"/>
        </w:rPr>
      </w:pPr>
    </w:p>
    <w:p w:rsidR="004E038F" w:rsidRPr="00C34D71" w:rsidRDefault="004E038F" w:rsidP="00C34D71">
      <w:pPr>
        <w:spacing w:before="120" w:after="120" w:line="240" w:lineRule="auto"/>
        <w:jc w:val="both"/>
        <w:rPr>
          <w:rFonts w:ascii="Times New Roman" w:hAnsi="Times New Roman"/>
          <w:sz w:val="24"/>
          <w:lang w:val="sk-SK"/>
        </w:rPr>
      </w:pPr>
    </w:p>
    <w:sectPr w:rsidR="004E038F" w:rsidRPr="00C34D7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25D" w:rsidRDefault="0017725D" w:rsidP="00C34D71">
      <w:pPr>
        <w:spacing w:after="0" w:line="240" w:lineRule="auto"/>
      </w:pPr>
      <w:r>
        <w:separator/>
      </w:r>
    </w:p>
  </w:endnote>
  <w:endnote w:type="continuationSeparator" w:id="0">
    <w:p w:rsidR="0017725D" w:rsidRDefault="0017725D" w:rsidP="00C3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D71" w:rsidRDefault="00C34D71">
    <w:pPr>
      <w:pStyle w:val="Pta"/>
      <w:jc w:val="center"/>
    </w:pPr>
    <w:r>
      <w:fldChar w:fldCharType="begin"/>
    </w:r>
    <w:r>
      <w:instrText xml:space="preserve"> PAGE   \* MERGEFORMAT </w:instrText>
    </w:r>
    <w:r>
      <w:fldChar w:fldCharType="separate"/>
    </w:r>
    <w:r w:rsidR="00D956D7">
      <w:rPr>
        <w:noProof/>
      </w:rPr>
      <w:t>2</w:t>
    </w:r>
    <w:r>
      <w:rPr>
        <w:noProof/>
      </w:rPr>
      <w:fldChar w:fldCharType="end"/>
    </w:r>
  </w:p>
  <w:p w:rsidR="00C34D71" w:rsidRDefault="00C34D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25D" w:rsidRDefault="0017725D" w:rsidP="00C34D71">
      <w:pPr>
        <w:spacing w:after="0" w:line="240" w:lineRule="auto"/>
      </w:pPr>
      <w:r>
        <w:separator/>
      </w:r>
    </w:p>
  </w:footnote>
  <w:footnote w:type="continuationSeparator" w:id="0">
    <w:p w:rsidR="0017725D" w:rsidRDefault="0017725D" w:rsidP="00C34D71">
      <w:pPr>
        <w:spacing w:after="0" w:line="240" w:lineRule="auto"/>
      </w:pPr>
      <w:r>
        <w:continuationSeparator/>
      </w:r>
    </w:p>
  </w:footnote>
  <w:footnote w:id="1">
    <w:p w:rsidR="00C34D71" w:rsidRPr="00DF3112" w:rsidRDefault="00C34D71" w:rsidP="00DF3112">
      <w:pPr>
        <w:pStyle w:val="Textpoznmkypodiarou"/>
        <w:spacing w:after="0" w:line="240" w:lineRule="auto"/>
        <w:ind w:left="720" w:hanging="720"/>
        <w:jc w:val="both"/>
        <w:rPr>
          <w:sz w:val="20"/>
          <w:szCs w:val="20"/>
          <w:lang w:val="pl-PL"/>
        </w:rPr>
      </w:pPr>
      <w:r w:rsidRPr="00DE66D5">
        <w:rPr>
          <w:rStyle w:val="Odkaznapoznmkupodiarou"/>
        </w:rPr>
        <w:footnoteRef/>
      </w:r>
      <w:r w:rsidRPr="00C34D71">
        <w:rPr>
          <w:lang w:val="pl-PL"/>
        </w:rPr>
        <w:t xml:space="preserve"> </w:t>
      </w:r>
      <w:r w:rsidRPr="00DF3112">
        <w:rPr>
          <w:sz w:val="20"/>
          <w:szCs w:val="20"/>
          <w:lang w:val="pl-PL"/>
        </w:rPr>
        <w:tab/>
        <w:t>Usmernenia o regionálnej štátnej pomoci na roky 2014 – 2020 (Ú. v. EÚ C 209, 23.7.2013, s. 1).</w:t>
      </w:r>
    </w:p>
  </w:footnote>
  <w:footnote w:id="2">
    <w:p w:rsidR="00C34D71" w:rsidRPr="00DF3112" w:rsidRDefault="00C34D71" w:rsidP="00DF3112">
      <w:pPr>
        <w:pStyle w:val="Textpoznmkypodiarou"/>
        <w:spacing w:after="0" w:line="240" w:lineRule="auto"/>
        <w:ind w:left="720" w:hanging="720"/>
        <w:jc w:val="both"/>
        <w:rPr>
          <w:color w:val="000000"/>
          <w:sz w:val="20"/>
          <w:szCs w:val="20"/>
          <w:lang w:val="pl-PL"/>
        </w:rPr>
      </w:pPr>
      <w:r w:rsidRPr="00DF3112">
        <w:rPr>
          <w:rStyle w:val="Odkaznapoznmkupodiarou"/>
          <w:sz w:val="20"/>
          <w:szCs w:val="20"/>
        </w:rPr>
        <w:footnoteRef/>
      </w:r>
      <w:r w:rsidRPr="00DF3112">
        <w:rPr>
          <w:sz w:val="20"/>
          <w:szCs w:val="20"/>
          <w:lang w:val="pl-PL"/>
        </w:rPr>
        <w:t xml:space="preserve"> </w:t>
      </w:r>
      <w:r w:rsidRPr="00DF3112">
        <w:rPr>
          <w:sz w:val="20"/>
          <w:szCs w:val="20"/>
          <w:lang w:val="pl-PL"/>
        </w:rPr>
        <w:tab/>
      </w:r>
      <w:r w:rsidRPr="00DF3112">
        <w:rPr>
          <w:color w:val="000000"/>
          <w:sz w:val="20"/>
          <w:szCs w:val="20"/>
          <w:lang w:val="pl-PL"/>
        </w:rPr>
        <w:t>Ako sa vymedzuje v usmerneniach o štátnej pomoci na záchranu a reštrukturalizáciu nefinančných podnikov v ťažkostiach (Ú. v. EÚ C 249, 31.7.2014, s. 1).</w:t>
      </w:r>
    </w:p>
  </w:footnote>
  <w:footnote w:id="3">
    <w:p w:rsidR="00C34D71" w:rsidRPr="00DF3112" w:rsidRDefault="00C34D71" w:rsidP="00DF3112">
      <w:pPr>
        <w:pStyle w:val="Textpoznmkypodiarou"/>
        <w:spacing w:after="0" w:line="240" w:lineRule="auto"/>
        <w:ind w:left="720" w:hanging="720"/>
        <w:jc w:val="both"/>
        <w:rPr>
          <w:color w:val="000000"/>
          <w:sz w:val="20"/>
          <w:szCs w:val="20"/>
          <w:lang w:val="pl-PL"/>
        </w:rPr>
      </w:pPr>
      <w:r w:rsidRPr="00DF3112">
        <w:rPr>
          <w:rStyle w:val="Odkaznapoznmkupodiarou"/>
          <w:color w:val="000000"/>
          <w:sz w:val="20"/>
          <w:szCs w:val="20"/>
        </w:rPr>
        <w:footnoteRef/>
      </w:r>
      <w:r w:rsidRPr="00DF3112">
        <w:rPr>
          <w:color w:val="000000"/>
          <w:sz w:val="20"/>
          <w:szCs w:val="20"/>
          <w:lang w:val="pl-PL"/>
        </w:rPr>
        <w:t xml:space="preserve"> </w:t>
      </w:r>
      <w:r w:rsidRPr="00DF3112">
        <w:rPr>
          <w:sz w:val="20"/>
          <w:szCs w:val="20"/>
          <w:lang w:val="pl-PL"/>
        </w:rPr>
        <w:tab/>
      </w:r>
      <w:r w:rsidRPr="00DF3112">
        <w:rPr>
          <w:color w:val="000000"/>
          <w:sz w:val="20"/>
          <w:szCs w:val="20"/>
          <w:lang w:val="pl-PL"/>
        </w:rPr>
        <w:t>Ako sa vymedzuje v prílohe IV k Usmerneniam o regionálnej štátnej pomoci na roky 2014 – 2020.</w:t>
      </w:r>
    </w:p>
  </w:footnote>
  <w:footnote w:id="4">
    <w:p w:rsidR="00C34D71" w:rsidRPr="00C34D71" w:rsidRDefault="00C34D71" w:rsidP="00DF3112">
      <w:pPr>
        <w:pStyle w:val="Textpoznmkypodiarou"/>
        <w:spacing w:line="240" w:lineRule="auto"/>
        <w:rPr>
          <w:color w:val="000000"/>
          <w:lang w:val="pl-PL"/>
        </w:rPr>
      </w:pPr>
      <w:r w:rsidRPr="00DF3112">
        <w:rPr>
          <w:rStyle w:val="Odkaznapoznmkupodiarou"/>
          <w:color w:val="000000"/>
          <w:sz w:val="20"/>
          <w:szCs w:val="20"/>
        </w:rPr>
        <w:footnoteRef/>
      </w:r>
      <w:r w:rsidRPr="00DF3112">
        <w:rPr>
          <w:color w:val="000000"/>
          <w:sz w:val="20"/>
          <w:szCs w:val="20"/>
          <w:lang w:val="pl-PL"/>
        </w:rPr>
        <w:t xml:space="preserve"> </w:t>
      </w:r>
      <w:r w:rsidRPr="00DF3112">
        <w:rPr>
          <w:sz w:val="20"/>
          <w:szCs w:val="20"/>
          <w:lang w:val="pl-PL"/>
        </w:rPr>
        <w:tab/>
        <w:t>Ako sa vymedzuje v prílohe IV k Usmerneniam o regionálnej štátnej pomoci na roky 2014 – 2020.</w:t>
      </w:r>
    </w:p>
  </w:footnote>
  <w:footnote w:id="5">
    <w:p w:rsidR="00C34D71" w:rsidRPr="00C34D71" w:rsidRDefault="00C34D71" w:rsidP="00DF3112">
      <w:pPr>
        <w:pStyle w:val="Textpoznmkypodiarou"/>
        <w:spacing w:after="0" w:line="240" w:lineRule="auto"/>
        <w:ind w:left="720" w:hanging="720"/>
        <w:jc w:val="both"/>
        <w:rPr>
          <w:lang w:val="pl-PL"/>
        </w:rPr>
      </w:pPr>
      <w:r w:rsidRPr="00DE66D5">
        <w:rPr>
          <w:rStyle w:val="Odkaznapoznmkupodiarou"/>
          <w:color w:val="000000"/>
        </w:rPr>
        <w:footnoteRef/>
      </w:r>
      <w:r w:rsidRPr="00C34D71">
        <w:rPr>
          <w:color w:val="000000"/>
          <w:lang w:val="pl-PL"/>
        </w:rPr>
        <w:t xml:space="preserve"> </w:t>
      </w:r>
      <w:r w:rsidRPr="00C34D71">
        <w:rPr>
          <w:lang w:val="pl-PL"/>
        </w:rPr>
        <w:tab/>
      </w:r>
      <w:r w:rsidRPr="00DF3112">
        <w:rPr>
          <w:sz w:val="20"/>
          <w:szCs w:val="20"/>
          <w:lang w:val="pl-PL"/>
        </w:rPr>
        <w:t>Usmernenia o regionálnej štátnej pomoci sa uplatňujú na schémy pomoci, ktorými sa podporujú činnosti mimo rozsahu pôsobnosti článku 42 ZFEÚ, ale na ktoré sa vzťahuje nariadenie o rozvoji vidieka [nariadenie Európskeho parlamentu a Rady  (EÚ) č. 1305/2013 zo 17. decembra 2013 o podpore rozvoja vidieka prostredníctvom Európskeho poľnohospodárskeho fondu pre rozvoj vidieka (EPFRV)] a o zrušení nariadenia Rady (ES) č. 1698/2005 (Ú. v. EÚ L 347, 20.12.2013, s. 487), a ktoré buď spolufinancuje Európsky poľnohospodársky fond pre rozvoj vidieka, alebo ktoré sa poskytujú ako dodatočné vnútroštátne financovanie k takýmto spolufinancovaným schémam, pokiaľ sa v pravidlách odvetvia nestanovuje inak.</w:t>
      </w:r>
    </w:p>
  </w:footnote>
  <w:footnote w:id="6">
    <w:p w:rsidR="00C34D71" w:rsidRPr="00E81B41" w:rsidRDefault="00C34D71" w:rsidP="00E81B41">
      <w:pPr>
        <w:pStyle w:val="Textpoznmkypodiarou"/>
        <w:spacing w:after="0" w:line="240" w:lineRule="auto"/>
        <w:ind w:left="720" w:hanging="720"/>
        <w:jc w:val="both"/>
        <w:rPr>
          <w:sz w:val="20"/>
          <w:lang w:val="pl-PL"/>
        </w:rPr>
      </w:pPr>
      <w:r w:rsidRPr="00DE66D5">
        <w:rPr>
          <w:rStyle w:val="Odkaznapoznmkupodiarou"/>
        </w:rPr>
        <w:footnoteRef/>
      </w:r>
      <w:r w:rsidRPr="00C34D71">
        <w:rPr>
          <w:lang w:val="pl-PL"/>
        </w:rPr>
        <w:t xml:space="preserve"> </w:t>
      </w:r>
      <w:r w:rsidRPr="00E81B41">
        <w:rPr>
          <w:sz w:val="20"/>
          <w:lang w:val="pl-PL"/>
        </w:rPr>
        <w:tab/>
        <w:t>„MSP“ sú podniky, ktoré spĺňajú podmienky stanovené v odporúčaní Komisie zo 6. mája 2003 o vymedzení mikropodnikov, malých a stredných podnikov (Ú. v. EÚ L 124, 20.5.2003, s. 36).</w:t>
      </w:r>
    </w:p>
  </w:footnote>
  <w:footnote w:id="7">
    <w:p w:rsidR="00C34D71" w:rsidRPr="00C34D71" w:rsidRDefault="00C34D71" w:rsidP="00E81B41">
      <w:pPr>
        <w:pStyle w:val="Textpoznmkypodiarou"/>
        <w:spacing w:after="0" w:line="240" w:lineRule="auto"/>
        <w:ind w:left="720" w:hanging="720"/>
        <w:jc w:val="both"/>
        <w:rPr>
          <w:lang w:val="pl-PL"/>
        </w:rPr>
      </w:pPr>
      <w:r w:rsidRPr="00DE66D5">
        <w:rPr>
          <w:rStyle w:val="Odkaznapoznmkupodiarou"/>
        </w:rPr>
        <w:footnoteRef/>
      </w:r>
      <w:r w:rsidRPr="00C34D71">
        <w:rPr>
          <w:lang w:val="pl-PL"/>
        </w:rPr>
        <w:t xml:space="preserve"> </w:t>
      </w:r>
      <w:r w:rsidRPr="00E81B41">
        <w:rPr>
          <w:sz w:val="20"/>
          <w:szCs w:val="20"/>
          <w:lang w:val="pl-PL"/>
        </w:rPr>
        <w:tab/>
        <w:t>V tejto súvislosti je potrebné upozorniť, že prevádzkovú pomoc na kompenzáciu dodatočných nákladov na dopravu tovaru, ktorý bol vyrobený v oblastiach oprávnených na prevádzkovú pomoc, možno poskytnúť len v súlade so všeobecným nariadením o skupinových výnimkách (ďalej len „GBER“) platného v čase poskytnutia pomoci.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3CF"/>
    <w:multiLevelType w:val="hybridMultilevel"/>
    <w:tmpl w:val="5A6411C4"/>
    <w:lvl w:ilvl="0" w:tplc="0809001B">
      <w:start w:val="1"/>
      <w:numFmt w:val="lowerRoman"/>
      <w:lvlText w:val="%1."/>
      <w:lvlJc w:val="righ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 w15:restartNumberingAfterBreak="0">
    <w:nsid w:val="0F6F3D84"/>
    <w:multiLevelType w:val="hybridMultilevel"/>
    <w:tmpl w:val="84FC46E0"/>
    <w:lvl w:ilvl="0" w:tplc="08090017">
      <w:start w:val="1"/>
      <w:numFmt w:val="lowerLetter"/>
      <w:lvlText w:val="%1)"/>
      <w:lvlJc w:val="left"/>
      <w:pPr>
        <w:ind w:left="1551" w:hanging="360"/>
      </w:pPr>
    </w:lvl>
    <w:lvl w:ilvl="1" w:tplc="08090019">
      <w:start w:val="1"/>
      <w:numFmt w:val="lowerLetter"/>
      <w:lvlText w:val="%2."/>
      <w:lvlJc w:val="left"/>
      <w:pPr>
        <w:ind w:left="2271" w:hanging="360"/>
      </w:pPr>
    </w:lvl>
    <w:lvl w:ilvl="2" w:tplc="0809001B" w:tentative="1">
      <w:start w:val="1"/>
      <w:numFmt w:val="lowerRoman"/>
      <w:lvlText w:val="%3."/>
      <w:lvlJc w:val="right"/>
      <w:pPr>
        <w:ind w:left="2991" w:hanging="180"/>
      </w:pPr>
    </w:lvl>
    <w:lvl w:ilvl="3" w:tplc="0809000F" w:tentative="1">
      <w:start w:val="1"/>
      <w:numFmt w:val="decimal"/>
      <w:lvlText w:val="%4."/>
      <w:lvlJc w:val="left"/>
      <w:pPr>
        <w:ind w:left="3711" w:hanging="360"/>
      </w:pPr>
    </w:lvl>
    <w:lvl w:ilvl="4" w:tplc="08090019" w:tentative="1">
      <w:start w:val="1"/>
      <w:numFmt w:val="lowerLetter"/>
      <w:lvlText w:val="%5."/>
      <w:lvlJc w:val="left"/>
      <w:pPr>
        <w:ind w:left="4431" w:hanging="360"/>
      </w:pPr>
    </w:lvl>
    <w:lvl w:ilvl="5" w:tplc="0809001B" w:tentative="1">
      <w:start w:val="1"/>
      <w:numFmt w:val="lowerRoman"/>
      <w:lvlText w:val="%6."/>
      <w:lvlJc w:val="right"/>
      <w:pPr>
        <w:ind w:left="5151" w:hanging="180"/>
      </w:pPr>
    </w:lvl>
    <w:lvl w:ilvl="6" w:tplc="0809000F" w:tentative="1">
      <w:start w:val="1"/>
      <w:numFmt w:val="decimal"/>
      <w:lvlText w:val="%7."/>
      <w:lvlJc w:val="left"/>
      <w:pPr>
        <w:ind w:left="5871" w:hanging="360"/>
      </w:pPr>
    </w:lvl>
    <w:lvl w:ilvl="7" w:tplc="08090019" w:tentative="1">
      <w:start w:val="1"/>
      <w:numFmt w:val="lowerLetter"/>
      <w:lvlText w:val="%8."/>
      <w:lvlJc w:val="left"/>
      <w:pPr>
        <w:ind w:left="6591" w:hanging="360"/>
      </w:pPr>
    </w:lvl>
    <w:lvl w:ilvl="8" w:tplc="0809001B" w:tentative="1">
      <w:start w:val="1"/>
      <w:numFmt w:val="lowerRoman"/>
      <w:lvlText w:val="%9."/>
      <w:lvlJc w:val="right"/>
      <w:pPr>
        <w:ind w:left="7311" w:hanging="180"/>
      </w:pPr>
    </w:lvl>
  </w:abstractNum>
  <w:abstractNum w:abstractNumId="2" w15:restartNumberingAfterBreak="0">
    <w:nsid w:val="428415E7"/>
    <w:multiLevelType w:val="multilevel"/>
    <w:tmpl w:val="92100ADA"/>
    <w:name w:val="0.7069622"/>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DFD0643"/>
    <w:multiLevelType w:val="multilevel"/>
    <w:tmpl w:val="AA74C13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color w:val="auto"/>
      </w:rPr>
    </w:lvl>
    <w:lvl w:ilvl="2">
      <w:start w:val="1"/>
      <w:numFmt w:val="decimal"/>
      <w:lvlText w:val="3.%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0DB4E47"/>
    <w:multiLevelType w:val="multilevel"/>
    <w:tmpl w:val="6908F744"/>
    <w:lvl w:ilvl="0">
      <w:start w:val="1"/>
      <w:numFmt w:val="decimal"/>
      <w:lvlText w:val="%1."/>
      <w:lvlJc w:val="left"/>
      <w:pPr>
        <w:ind w:left="360" w:hanging="360"/>
      </w:pPr>
      <w:rPr>
        <w:rFonts w:hint="default"/>
      </w:rPr>
    </w:lvl>
    <w:lvl w:ilvl="1">
      <w:start w:val="1"/>
      <w:numFmt w:val="decimal"/>
      <w:lvlText w:val="2.%2."/>
      <w:lvlJc w:val="left"/>
      <w:pPr>
        <w:ind w:left="716" w:hanging="432"/>
      </w:pPr>
      <w:rPr>
        <w:rFonts w:hint="default"/>
        <w:b/>
        <w:color w:val="auto"/>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4DB49A1"/>
    <w:multiLevelType w:val="multilevel"/>
    <w:tmpl w:val="5F0005C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color w:val="auto"/>
      </w:rPr>
    </w:lvl>
    <w:lvl w:ilvl="2">
      <w:start w:val="1"/>
      <w:numFmt w:val="decimal"/>
      <w:lvlText w:val="3.%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C34D71"/>
    <w:rsid w:val="000E503C"/>
    <w:rsid w:val="0017725D"/>
    <w:rsid w:val="004659DC"/>
    <w:rsid w:val="004E038F"/>
    <w:rsid w:val="00695E50"/>
    <w:rsid w:val="006C1444"/>
    <w:rsid w:val="00C34D71"/>
    <w:rsid w:val="00D956D7"/>
    <w:rsid w:val="00DF3112"/>
    <w:rsid w:val="00E81B41"/>
    <w:rsid w:val="00F35319"/>
    <w:rsid w:val="00FF7E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F4A6F-8E01-478D-A742-4C961EF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4659DC"/>
    <w:pPr>
      <w:spacing w:after="80"/>
    </w:pPr>
    <w:rPr>
      <w:rFonts w:ascii="Times New Roman" w:hAnsi="Times New Roman"/>
    </w:rPr>
  </w:style>
  <w:style w:type="character" w:customStyle="1" w:styleId="TextpoznmkypodiarouChar">
    <w:name w:val="Text poznámky pod čiarou Char"/>
    <w:link w:val="Textpoznmkypodiarou"/>
    <w:uiPriority w:val="99"/>
    <w:rsid w:val="004659DC"/>
    <w:rPr>
      <w:rFonts w:ascii="Times New Roman" w:hAnsi="Times New Roman"/>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Char"/>
    <w:link w:val="SUPERSChar"/>
    <w:uiPriority w:val="99"/>
    <w:unhideWhenUsed/>
    <w:rsid w:val="00C34D71"/>
    <w:rPr>
      <w:vertAlign w:val="superscript"/>
    </w:rPr>
  </w:style>
  <w:style w:type="paragraph" w:customStyle="1" w:styleId="SUPERSChar">
    <w:name w:val="SUPERS Char"/>
    <w:aliases w:val="EN Footnote Reference Char"/>
    <w:basedOn w:val="Normlny"/>
    <w:link w:val="Odkaznapoznmkupodiarou"/>
    <w:uiPriority w:val="99"/>
    <w:rsid w:val="00C34D71"/>
    <w:pPr>
      <w:spacing w:after="160" w:line="240" w:lineRule="exact"/>
    </w:pPr>
    <w:rPr>
      <w:sz w:val="20"/>
      <w:szCs w:val="20"/>
      <w:vertAlign w:val="superscript"/>
      <w:lang w:eastAsia="en-GB"/>
    </w:rPr>
  </w:style>
  <w:style w:type="paragraph" w:styleId="slovanzoznam">
    <w:name w:val="List Number"/>
    <w:basedOn w:val="Normlny"/>
    <w:rsid w:val="00C34D71"/>
    <w:pPr>
      <w:numPr>
        <w:numId w:val="5"/>
      </w:numPr>
      <w:spacing w:after="240" w:line="240" w:lineRule="auto"/>
      <w:jc w:val="both"/>
    </w:pPr>
    <w:rPr>
      <w:rFonts w:ascii="Times New Roman" w:eastAsia="Times New Roman" w:hAnsi="Times New Roman"/>
      <w:sz w:val="24"/>
      <w:szCs w:val="20"/>
      <w:lang w:val="sk-SK"/>
    </w:rPr>
  </w:style>
  <w:style w:type="paragraph" w:customStyle="1" w:styleId="ListNumberLevel2">
    <w:name w:val="List Number (Level 2)"/>
    <w:basedOn w:val="Normlny"/>
    <w:rsid w:val="00C34D71"/>
    <w:pPr>
      <w:numPr>
        <w:ilvl w:val="1"/>
        <w:numId w:val="5"/>
      </w:numPr>
      <w:spacing w:after="240" w:line="240" w:lineRule="auto"/>
      <w:jc w:val="both"/>
    </w:pPr>
    <w:rPr>
      <w:rFonts w:ascii="Times New Roman" w:eastAsia="Times New Roman" w:hAnsi="Times New Roman"/>
      <w:sz w:val="24"/>
      <w:szCs w:val="20"/>
      <w:lang w:val="sk-SK"/>
    </w:rPr>
  </w:style>
  <w:style w:type="paragraph" w:customStyle="1" w:styleId="ListNumberLevel3">
    <w:name w:val="List Number (Level 3)"/>
    <w:basedOn w:val="Normlny"/>
    <w:rsid w:val="00C34D71"/>
    <w:pPr>
      <w:numPr>
        <w:ilvl w:val="2"/>
        <w:numId w:val="5"/>
      </w:numPr>
      <w:spacing w:after="240" w:line="240" w:lineRule="auto"/>
      <w:jc w:val="both"/>
    </w:pPr>
    <w:rPr>
      <w:rFonts w:ascii="Times New Roman" w:eastAsia="Times New Roman" w:hAnsi="Times New Roman"/>
      <w:sz w:val="24"/>
      <w:szCs w:val="20"/>
      <w:lang w:val="sk-SK"/>
    </w:rPr>
  </w:style>
  <w:style w:type="paragraph" w:customStyle="1" w:styleId="ListNumberLevel4">
    <w:name w:val="List Number (Level 4)"/>
    <w:basedOn w:val="Normlny"/>
    <w:rsid w:val="00C34D71"/>
    <w:pPr>
      <w:numPr>
        <w:ilvl w:val="3"/>
        <w:numId w:val="5"/>
      </w:numPr>
      <w:spacing w:after="240" w:line="240" w:lineRule="auto"/>
      <w:jc w:val="both"/>
    </w:pPr>
    <w:rPr>
      <w:rFonts w:ascii="Times New Roman" w:eastAsia="Times New Roman" w:hAnsi="Times New Roman"/>
      <w:sz w:val="24"/>
      <w:szCs w:val="20"/>
      <w:lang w:val="sk-SK"/>
    </w:rPr>
  </w:style>
  <w:style w:type="paragraph" w:styleId="Hlavika">
    <w:name w:val="header"/>
    <w:basedOn w:val="Normlny"/>
    <w:link w:val="HlavikaChar"/>
    <w:uiPriority w:val="99"/>
    <w:unhideWhenUsed/>
    <w:rsid w:val="00C34D71"/>
    <w:pPr>
      <w:tabs>
        <w:tab w:val="center" w:pos="4536"/>
        <w:tab w:val="right" w:pos="9072"/>
      </w:tabs>
    </w:pPr>
  </w:style>
  <w:style w:type="character" w:customStyle="1" w:styleId="HlavikaChar">
    <w:name w:val="Hlavička Char"/>
    <w:link w:val="Hlavika"/>
    <w:uiPriority w:val="99"/>
    <w:rsid w:val="00C34D71"/>
    <w:rPr>
      <w:sz w:val="22"/>
      <w:szCs w:val="22"/>
      <w:lang w:eastAsia="en-US"/>
    </w:rPr>
  </w:style>
  <w:style w:type="paragraph" w:styleId="Pta">
    <w:name w:val="footer"/>
    <w:basedOn w:val="Normlny"/>
    <w:link w:val="PtaChar"/>
    <w:uiPriority w:val="99"/>
    <w:unhideWhenUsed/>
    <w:rsid w:val="00C34D71"/>
    <w:pPr>
      <w:tabs>
        <w:tab w:val="center" w:pos="4536"/>
        <w:tab w:val="right" w:pos="9072"/>
      </w:tabs>
    </w:pPr>
  </w:style>
  <w:style w:type="character" w:customStyle="1" w:styleId="PtaChar">
    <w:name w:val="Päta Char"/>
    <w:link w:val="Pta"/>
    <w:uiPriority w:val="99"/>
    <w:rsid w:val="00C34D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1061</Words>
  <Characters>6048</Characters>
  <Application>Microsoft Office Word</Application>
  <DocSecurity>4</DocSecurity>
  <Lines>50</Lines>
  <Paragraphs>14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cp:lastModifiedBy>Miriama Hviščová</cp:lastModifiedBy>
  <cp:revision>2</cp:revision>
  <dcterms:created xsi:type="dcterms:W3CDTF">2021-08-27T07:48:00Z</dcterms:created>
  <dcterms:modified xsi:type="dcterms:W3CDTF">2021-08-27T07:48:00Z</dcterms:modified>
</cp:coreProperties>
</file>