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3C24D" w14:textId="77777777" w:rsidR="00F04581" w:rsidRPr="008D160C" w:rsidRDefault="00F04581" w:rsidP="004B142B">
      <w:pPr>
        <w:jc w:val="right"/>
      </w:pPr>
      <w:r w:rsidRPr="008D160C">
        <w:rPr>
          <w:noProof/>
          <w:lang w:eastAsia="sk-SK"/>
        </w:rPr>
        <w:drawing>
          <wp:anchor distT="0" distB="0" distL="114300" distR="114300" simplePos="0" relativeHeight="251667456" behindDoc="0" locked="0" layoutInCell="1" allowOverlap="1" wp14:anchorId="1BA7A061" wp14:editId="08C078F7">
            <wp:simplePos x="0" y="0"/>
            <wp:positionH relativeFrom="column">
              <wp:posOffset>4322284</wp:posOffset>
            </wp:positionH>
            <wp:positionV relativeFrom="paragraph">
              <wp:posOffset>-920115</wp:posOffset>
            </wp:positionV>
            <wp:extent cx="110661" cy="573141"/>
            <wp:effectExtent l="0" t="0" r="381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661" cy="573141"/>
                    </a:xfrm>
                    <a:prstGeom prst="rect">
                      <a:avLst/>
                    </a:prstGeom>
                  </pic:spPr>
                </pic:pic>
              </a:graphicData>
            </a:graphic>
            <wp14:sizeRelH relativeFrom="page">
              <wp14:pctWidth>0</wp14:pctWidth>
            </wp14:sizeRelH>
            <wp14:sizeRelV relativeFrom="page">
              <wp14:pctHeight>0</wp14:pctHeight>
            </wp14:sizeRelV>
          </wp:anchor>
        </w:drawing>
      </w:r>
      <w:r w:rsidRPr="008D160C">
        <w:rPr>
          <w:noProof/>
          <w:lang w:eastAsia="sk-SK"/>
        </w:rPr>
        <w:drawing>
          <wp:anchor distT="0" distB="0" distL="114300" distR="114300" simplePos="0" relativeHeight="251658240" behindDoc="0" locked="0" layoutInCell="1" allowOverlap="1" wp14:anchorId="5AED5965" wp14:editId="5E8B6456">
            <wp:simplePos x="0" y="0"/>
            <wp:positionH relativeFrom="margin">
              <wp:posOffset>3865880</wp:posOffset>
            </wp:positionH>
            <wp:positionV relativeFrom="margin">
              <wp:posOffset>-398040</wp:posOffset>
            </wp:positionV>
            <wp:extent cx="2266950" cy="719455"/>
            <wp:effectExtent l="0" t="0" r="0" b="4445"/>
            <wp:wrapSquare wrapText="bothSides"/>
            <wp:docPr id="1" name="Obrázok 1" descr="F:\logo PMÚ SR_ SK_finálne verzie\PNG_RGB\logo_PMU_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PMÚ SR_ SK_finálne verzie\PNG_RGB\logo_PMU_S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1F138" w14:textId="77777777" w:rsidR="00F04581" w:rsidRPr="008D160C" w:rsidRDefault="00F04581" w:rsidP="004B142B">
      <w:pPr>
        <w:jc w:val="right"/>
      </w:pPr>
    </w:p>
    <w:p w14:paraId="162FC4BE" w14:textId="77777777" w:rsidR="00F04581" w:rsidRPr="008D160C" w:rsidRDefault="00F04581" w:rsidP="004B142B">
      <w:pPr>
        <w:jc w:val="right"/>
      </w:pPr>
    </w:p>
    <w:p w14:paraId="419B66DE" w14:textId="77777777" w:rsidR="00F04581" w:rsidRPr="008D160C" w:rsidRDefault="00F04581" w:rsidP="00F04581"/>
    <w:p w14:paraId="01C6352F" w14:textId="77777777" w:rsidR="00F04581" w:rsidRPr="008D160C" w:rsidRDefault="00F04581" w:rsidP="00F04581"/>
    <w:p w14:paraId="2BF2FA15" w14:textId="77777777" w:rsidR="00F04581" w:rsidRPr="008D160C" w:rsidRDefault="00F04581" w:rsidP="00F04581"/>
    <w:p w14:paraId="2370BF57" w14:textId="77777777" w:rsidR="00F04581" w:rsidRPr="008D160C" w:rsidRDefault="00F04581" w:rsidP="00F04581"/>
    <w:p w14:paraId="37693091" w14:textId="77777777" w:rsidR="00F04581" w:rsidRPr="008D160C" w:rsidRDefault="00F04581" w:rsidP="00F04581"/>
    <w:p w14:paraId="5978FAD9" w14:textId="77777777" w:rsidR="00F04581" w:rsidRPr="008D160C" w:rsidRDefault="000D16AD" w:rsidP="00F04581">
      <w:r w:rsidRPr="008D160C">
        <w:rPr>
          <w:noProof/>
          <w:lang w:eastAsia="sk-SK"/>
        </w:rPr>
        <mc:AlternateContent>
          <mc:Choice Requires="wps">
            <w:drawing>
              <wp:anchor distT="45720" distB="45720" distL="114300" distR="114300" simplePos="0" relativeHeight="251666432" behindDoc="1" locked="0" layoutInCell="1" allowOverlap="1" wp14:anchorId="24951F9F" wp14:editId="07EACB37">
                <wp:simplePos x="0" y="0"/>
                <wp:positionH relativeFrom="column">
                  <wp:posOffset>-880745</wp:posOffset>
                </wp:positionH>
                <wp:positionV relativeFrom="paragraph">
                  <wp:posOffset>275590</wp:posOffset>
                </wp:positionV>
                <wp:extent cx="7523480" cy="2847975"/>
                <wp:effectExtent l="0" t="0" r="1270" b="9525"/>
                <wp:wrapTight wrapText="bothSides">
                  <wp:wrapPolygon edited="0">
                    <wp:start x="0" y="0"/>
                    <wp:lineTo x="0" y="21528"/>
                    <wp:lineTo x="21549" y="21528"/>
                    <wp:lineTo x="21549" y="0"/>
                    <wp:lineTo x="0" y="0"/>
                  </wp:wrapPolygon>
                </wp:wrapTight>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3480" cy="2847975"/>
                        </a:xfrm>
                        <a:prstGeom prst="rect">
                          <a:avLst/>
                        </a:prstGeom>
                        <a:solidFill>
                          <a:srgbClr val="1E4E9D"/>
                        </a:solidFill>
                        <a:ln w="9525">
                          <a:noFill/>
                          <a:miter lim="800000"/>
                          <a:headEnd/>
                          <a:tailEnd/>
                        </a:ln>
                      </wps:spPr>
                      <wps:txbx>
                        <w:txbxContent>
                          <w:p w14:paraId="092A8CAF" w14:textId="77777777" w:rsidR="00831FC0" w:rsidRPr="00831FC0" w:rsidRDefault="00831FC0" w:rsidP="00831FC0">
                            <w:pPr>
                              <w:spacing w:line="276" w:lineRule="auto"/>
                              <w:jc w:val="center"/>
                              <w:rPr>
                                <w:rFonts w:ascii="Arial" w:hAnsi="Arial" w:cs="Arial"/>
                                <w:b/>
                                <w:color w:val="FFFFFF"/>
                                <w:sz w:val="16"/>
                                <w:szCs w:val="74"/>
                              </w:rPr>
                            </w:pPr>
                          </w:p>
                          <w:p w14:paraId="4063CBE6" w14:textId="18ADB05D" w:rsidR="002628D8" w:rsidRPr="003656D7" w:rsidRDefault="005669BE" w:rsidP="005669BE">
                            <w:pPr>
                              <w:spacing w:line="276" w:lineRule="auto"/>
                              <w:jc w:val="center"/>
                              <w:rPr>
                                <w:rFonts w:ascii="Arial" w:hAnsi="Arial" w:cs="Arial"/>
                                <w:b/>
                                <w:color w:val="FFFFFF"/>
                                <w:sz w:val="62"/>
                                <w:szCs w:val="62"/>
                              </w:rPr>
                            </w:pPr>
                            <w:r w:rsidRPr="003656D7">
                              <w:rPr>
                                <w:rFonts w:ascii="Arial" w:hAnsi="Arial" w:cs="Arial"/>
                                <w:b/>
                                <w:color w:val="FFFFFF"/>
                                <w:sz w:val="62"/>
                                <w:szCs w:val="62"/>
                                <w:lang w:eastAsia="sk-SK"/>
                              </w:rPr>
                              <w:t>Usmernenie Protimonopolného úradu</w:t>
                            </w:r>
                            <w:r w:rsidR="003656D7" w:rsidRPr="003656D7">
                              <w:rPr>
                                <w:rFonts w:ascii="Arial" w:hAnsi="Arial" w:cs="Arial"/>
                                <w:b/>
                                <w:color w:val="FFFFFF"/>
                                <w:sz w:val="62"/>
                                <w:szCs w:val="62"/>
                                <w:lang w:eastAsia="sk-SK"/>
                              </w:rPr>
                              <w:t xml:space="preserve"> Slovenskej rep</w:t>
                            </w:r>
                            <w:bookmarkStart w:id="0" w:name="_GoBack"/>
                            <w:bookmarkEnd w:id="0"/>
                            <w:r w:rsidR="003656D7" w:rsidRPr="003656D7">
                              <w:rPr>
                                <w:rFonts w:ascii="Arial" w:hAnsi="Arial" w:cs="Arial"/>
                                <w:b/>
                                <w:color w:val="FFFFFF"/>
                                <w:sz w:val="62"/>
                                <w:szCs w:val="62"/>
                                <w:lang w:eastAsia="sk-SK"/>
                              </w:rPr>
                              <w:t>ubliky</w:t>
                            </w:r>
                            <w:r w:rsidR="00031A8D">
                              <w:rPr>
                                <w:rFonts w:ascii="Arial" w:hAnsi="Arial" w:cs="Arial"/>
                                <w:b/>
                                <w:color w:val="FFFFFF"/>
                                <w:sz w:val="62"/>
                                <w:szCs w:val="62"/>
                                <w:lang w:eastAsia="sk-SK"/>
                              </w:rPr>
                              <w:br/>
                            </w:r>
                            <w:r w:rsidR="003656D7" w:rsidRPr="003656D7">
                              <w:rPr>
                                <w:rFonts w:ascii="Arial" w:hAnsi="Arial" w:cs="Arial"/>
                                <w:b/>
                                <w:color w:val="FFFFFF"/>
                                <w:sz w:val="62"/>
                                <w:szCs w:val="62"/>
                                <w:lang w:eastAsia="sk-SK"/>
                              </w:rPr>
                              <w:t>o</w:t>
                            </w:r>
                            <w:r w:rsidR="00031A8D">
                              <w:rPr>
                                <w:rFonts w:ascii="Arial" w:hAnsi="Arial" w:cs="Arial"/>
                                <w:b/>
                                <w:color w:val="FFFFFF"/>
                                <w:sz w:val="62"/>
                                <w:szCs w:val="62"/>
                                <w:lang w:eastAsia="sk-SK"/>
                              </w:rPr>
                              <w:t>hľadom identifikácie účastníkov koncentrácie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51F9F" id="_x0000_t202" coordsize="21600,21600" o:spt="202" path="m,l,21600r21600,l21600,xe">
                <v:stroke joinstyle="miter"/>
                <v:path gradientshapeok="t" o:connecttype="rect"/>
              </v:shapetype>
              <v:shape id="Textové pole 2" o:spid="_x0000_s1026" type="#_x0000_t202" style="position:absolute;margin-left:-69.35pt;margin-top:21.7pt;width:592.4pt;height:224.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" fillcolor="#1e4e9d" stroked="f">
                <v:textbox>
                  <w:txbxContent>
                    <w:p w14:paraId="092A8CAF" w14:textId="77777777" w:rsidR="00831FC0" w:rsidRPr="00831FC0" w:rsidRDefault="00831FC0" w:rsidP="00831FC0">
                      <w:pPr>
                        <w:spacing w:line="276" w:lineRule="auto"/>
                        <w:jc w:val="center"/>
                        <w:rPr>
                          <w:rFonts w:ascii="Arial" w:hAnsi="Arial" w:cs="Arial"/>
                          <w:b/>
                          <w:color w:val="FFFFFF"/>
                          <w:sz w:val="16"/>
                          <w:szCs w:val="74"/>
                        </w:rPr>
                      </w:pPr>
                    </w:p>
                    <w:p w14:paraId="4063CBE6" w14:textId="18ADB05D" w:rsidR="002628D8" w:rsidRPr="003656D7" w:rsidRDefault="005669BE" w:rsidP="005669BE">
                      <w:pPr>
                        <w:spacing w:line="276" w:lineRule="auto"/>
                        <w:jc w:val="center"/>
                        <w:rPr>
                          <w:rFonts w:ascii="Arial" w:hAnsi="Arial" w:cs="Arial"/>
                          <w:b/>
                          <w:color w:val="FFFFFF"/>
                          <w:sz w:val="62"/>
                          <w:szCs w:val="62"/>
                        </w:rPr>
                      </w:pPr>
                      <w:r w:rsidRPr="003656D7">
                        <w:rPr>
                          <w:rFonts w:ascii="Arial" w:hAnsi="Arial" w:cs="Arial"/>
                          <w:b/>
                          <w:color w:val="FFFFFF"/>
                          <w:sz w:val="62"/>
                          <w:szCs w:val="62"/>
                          <w:lang w:eastAsia="sk-SK"/>
                        </w:rPr>
                        <w:t>Usmernenie Protimonopolného úradu</w:t>
                      </w:r>
                      <w:r w:rsidR="003656D7" w:rsidRPr="003656D7">
                        <w:rPr>
                          <w:rFonts w:ascii="Arial" w:hAnsi="Arial" w:cs="Arial"/>
                          <w:b/>
                          <w:color w:val="FFFFFF"/>
                          <w:sz w:val="62"/>
                          <w:szCs w:val="62"/>
                          <w:lang w:eastAsia="sk-SK"/>
                        </w:rPr>
                        <w:t xml:space="preserve"> Slovenskej republiky</w:t>
                      </w:r>
                      <w:r w:rsidR="00031A8D">
                        <w:rPr>
                          <w:rFonts w:ascii="Arial" w:hAnsi="Arial" w:cs="Arial"/>
                          <w:b/>
                          <w:color w:val="FFFFFF"/>
                          <w:sz w:val="62"/>
                          <w:szCs w:val="62"/>
                          <w:lang w:eastAsia="sk-SK"/>
                        </w:rPr>
                        <w:br/>
                      </w:r>
                      <w:r w:rsidR="003656D7" w:rsidRPr="003656D7">
                        <w:rPr>
                          <w:rFonts w:ascii="Arial" w:hAnsi="Arial" w:cs="Arial"/>
                          <w:b/>
                          <w:color w:val="FFFFFF"/>
                          <w:sz w:val="62"/>
                          <w:szCs w:val="62"/>
                          <w:lang w:eastAsia="sk-SK"/>
                        </w:rPr>
                        <w:t>o</w:t>
                      </w:r>
                      <w:r w:rsidR="00031A8D">
                        <w:rPr>
                          <w:rFonts w:ascii="Arial" w:hAnsi="Arial" w:cs="Arial"/>
                          <w:b/>
                          <w:color w:val="FFFFFF"/>
                          <w:sz w:val="62"/>
                          <w:szCs w:val="62"/>
                          <w:lang w:eastAsia="sk-SK"/>
                        </w:rPr>
                        <w:t>hľadom identifikácie účastníkov koncentrácie</w:t>
                      </w:r>
                    </w:p>
                  </w:txbxContent>
                </v:textbox>
                <w10:wrap type="tight"/>
              </v:shape>
            </w:pict>
          </mc:Fallback>
        </mc:AlternateContent>
      </w:r>
    </w:p>
    <w:p w14:paraId="113C3E50" w14:textId="77777777" w:rsidR="00F04581" w:rsidRPr="008D160C" w:rsidRDefault="00F04581" w:rsidP="00F04581"/>
    <w:p w14:paraId="4F2F309E" w14:textId="77777777" w:rsidR="00F04581" w:rsidRPr="008D160C" w:rsidRDefault="00F04581" w:rsidP="00F04581"/>
    <w:p w14:paraId="60690805" w14:textId="77777777" w:rsidR="00F04581" w:rsidRPr="008D160C" w:rsidRDefault="00F04581" w:rsidP="00F04581">
      <w:pPr>
        <w:spacing w:before="240"/>
      </w:pPr>
    </w:p>
    <w:p w14:paraId="386593DD" w14:textId="77777777" w:rsidR="00F04581" w:rsidRPr="008D160C" w:rsidRDefault="00F04581" w:rsidP="00F04581">
      <w:pPr>
        <w:spacing w:before="240"/>
      </w:pPr>
    </w:p>
    <w:p w14:paraId="2BE65C47" w14:textId="77777777" w:rsidR="00F04581" w:rsidRPr="008D160C" w:rsidRDefault="00F04581" w:rsidP="00F04581">
      <w:pPr>
        <w:spacing w:before="240"/>
      </w:pPr>
    </w:p>
    <w:p w14:paraId="3F6EE536" w14:textId="77777777" w:rsidR="00F04581" w:rsidRPr="008D160C" w:rsidRDefault="00F04581" w:rsidP="00F04581">
      <w:pPr>
        <w:spacing w:before="240"/>
      </w:pPr>
    </w:p>
    <w:p w14:paraId="1C5C2528" w14:textId="77777777" w:rsidR="00F04581" w:rsidRPr="008D160C" w:rsidRDefault="00F04581" w:rsidP="00F04581"/>
    <w:p w14:paraId="160A2F86" w14:textId="77777777" w:rsidR="00F04581" w:rsidRPr="008D160C" w:rsidRDefault="00F04581" w:rsidP="00F04581"/>
    <w:p w14:paraId="1FCDDFCE" w14:textId="77777777" w:rsidR="00F04581" w:rsidRPr="008D160C" w:rsidRDefault="00F04581" w:rsidP="00F04581"/>
    <w:p w14:paraId="380F9730" w14:textId="77777777" w:rsidR="00F04581" w:rsidRPr="008D160C" w:rsidRDefault="00F04581" w:rsidP="00F04581"/>
    <w:p w14:paraId="4927CC80" w14:textId="77777777" w:rsidR="00F04581" w:rsidRPr="008D160C" w:rsidRDefault="00F04581" w:rsidP="00F04581"/>
    <w:p w14:paraId="16DD2FF5" w14:textId="5070C3D8" w:rsidR="00F04581" w:rsidRPr="008D160C" w:rsidRDefault="007066E0" w:rsidP="006933CC">
      <w:pPr>
        <w:ind w:left="360"/>
        <w:jc w:val="center"/>
        <w:rPr>
          <w:rFonts w:ascii="Arial" w:hAnsi="Arial" w:cs="Arial"/>
          <w:sz w:val="34"/>
          <w:szCs w:val="34"/>
        </w:rPr>
      </w:pPr>
      <w:r>
        <w:rPr>
          <w:rFonts w:ascii="Arial" w:hAnsi="Arial" w:cs="Arial"/>
          <w:sz w:val="34"/>
          <w:szCs w:val="34"/>
        </w:rPr>
        <w:t>9</w:t>
      </w:r>
      <w:r w:rsidR="006933CC" w:rsidRPr="008D160C">
        <w:rPr>
          <w:rFonts w:ascii="Arial" w:hAnsi="Arial" w:cs="Arial"/>
          <w:sz w:val="34"/>
          <w:szCs w:val="34"/>
        </w:rPr>
        <w:t xml:space="preserve">. </w:t>
      </w:r>
      <w:r>
        <w:rPr>
          <w:rFonts w:ascii="Arial" w:hAnsi="Arial" w:cs="Arial"/>
          <w:sz w:val="34"/>
          <w:szCs w:val="34"/>
        </w:rPr>
        <w:t>7</w:t>
      </w:r>
      <w:r w:rsidR="006933CC" w:rsidRPr="008D160C">
        <w:rPr>
          <w:rFonts w:ascii="Arial" w:hAnsi="Arial" w:cs="Arial"/>
          <w:sz w:val="34"/>
          <w:szCs w:val="34"/>
        </w:rPr>
        <w:t>.</w:t>
      </w:r>
      <w:r w:rsidR="00F04581" w:rsidRPr="008D160C">
        <w:rPr>
          <w:rFonts w:ascii="Arial" w:hAnsi="Arial" w:cs="Arial"/>
          <w:sz w:val="34"/>
          <w:szCs w:val="34"/>
        </w:rPr>
        <w:t xml:space="preserve"> 20</w:t>
      </w:r>
      <w:r w:rsidR="002628D8" w:rsidRPr="008D160C">
        <w:rPr>
          <w:rFonts w:ascii="Arial" w:hAnsi="Arial" w:cs="Arial"/>
          <w:sz w:val="34"/>
          <w:szCs w:val="34"/>
        </w:rPr>
        <w:t>21</w:t>
      </w:r>
    </w:p>
    <w:p w14:paraId="6EBC30C5" w14:textId="36D93E97" w:rsidR="007066E0" w:rsidRPr="007066E0" w:rsidRDefault="007066E0" w:rsidP="007066E0">
      <w:pPr>
        <w:pStyle w:val="Default"/>
        <w:jc w:val="both"/>
        <w:rPr>
          <w:color w:val="1E4E9D"/>
          <w:sz w:val="28"/>
        </w:rPr>
      </w:pPr>
      <w:r w:rsidRPr="007066E0">
        <w:rPr>
          <w:b/>
          <w:bCs/>
          <w:color w:val="1E4E9D"/>
          <w:sz w:val="28"/>
        </w:rPr>
        <w:lastRenderedPageBreak/>
        <w:t xml:space="preserve">1  ÚVOD </w:t>
      </w:r>
    </w:p>
    <w:p w14:paraId="44A7E1CD" w14:textId="77777777" w:rsidR="007066E0" w:rsidRDefault="007066E0" w:rsidP="007066E0">
      <w:pPr>
        <w:pStyle w:val="Default"/>
        <w:jc w:val="both"/>
      </w:pPr>
    </w:p>
    <w:p w14:paraId="778E4AD0" w14:textId="56A4A883" w:rsidR="007066E0" w:rsidRPr="00CD6E5A" w:rsidRDefault="007066E0" w:rsidP="002D6F9D">
      <w:pPr>
        <w:pStyle w:val="Default"/>
        <w:numPr>
          <w:ilvl w:val="0"/>
          <w:numId w:val="28"/>
        </w:numPr>
        <w:spacing w:line="276" w:lineRule="auto"/>
        <w:ind w:left="426" w:hanging="426"/>
        <w:jc w:val="both"/>
      </w:pPr>
      <w:r w:rsidRPr="00CD6E5A">
        <w:t>Koncentrácie podnikateľov podľa § 7 ods. 1 zákona č. 187/2021 Z.</w:t>
      </w:r>
      <w:r>
        <w:t xml:space="preserve"> </w:t>
      </w:r>
      <w:r w:rsidRPr="00CD6E5A">
        <w:t>z. o ochrane hospodárskej súťaže a o zmene a doplnení niektorých zákonov (ďalej len „zákon“) za splnenia podmienok podľa § 8 zákona podliehajú kontrole Protimonopolného úradu Slovenskej republiky (ďalej len „úrad“). Takéto koncentrácie sú príslušní podnikatelia povinní oznámiť úradu podľa § 9 ods. 1 zákona (môžu úradu oznámiť aj ako zámer koncentrácie podľa § 9 ods. 4 zákona), pričom rozsah náležitostí požadovaných pre oznámenie koncentrácie stanovuje podľa § 64 písm. b) zákona vykonávací všeobecne záväzný pr</w:t>
      </w:r>
      <w:r>
        <w:t xml:space="preserve">ávny predpis - </w:t>
      </w:r>
      <w:r w:rsidRPr="00CD6E5A">
        <w:t>Vyhláška Protimonopolného úradu Slovenskej republiky</w:t>
      </w:r>
      <w:r>
        <w:t xml:space="preserve"> </w:t>
      </w:r>
      <w:r w:rsidRPr="00CD6E5A">
        <w:t>č. 189/2021 Z.</w:t>
      </w:r>
      <w:r>
        <w:t xml:space="preserve"> </w:t>
      </w:r>
      <w:r w:rsidRPr="00CD6E5A">
        <w:t xml:space="preserve">z., ktorou sa ustanovujú náležitosti oznámenia koncentrácie (ďalej len „vyhláška“). </w:t>
      </w:r>
    </w:p>
    <w:p w14:paraId="28D9097F" w14:textId="77777777" w:rsidR="007066E0" w:rsidRPr="008D36EF" w:rsidRDefault="007066E0" w:rsidP="002D6F9D">
      <w:pPr>
        <w:pStyle w:val="Default"/>
        <w:spacing w:line="276" w:lineRule="auto"/>
        <w:ind w:left="426" w:hanging="426"/>
        <w:jc w:val="both"/>
      </w:pPr>
    </w:p>
    <w:p w14:paraId="294E1166" w14:textId="1B057353" w:rsidR="007066E0" w:rsidRDefault="007066E0" w:rsidP="002D6F9D">
      <w:pPr>
        <w:pStyle w:val="Default"/>
        <w:numPr>
          <w:ilvl w:val="0"/>
          <w:numId w:val="28"/>
        </w:numPr>
        <w:spacing w:line="276" w:lineRule="auto"/>
        <w:ind w:left="426" w:hanging="426"/>
        <w:jc w:val="both"/>
      </w:pPr>
      <w:r>
        <w:t>Na účely zistenia</w:t>
      </w:r>
      <w:r w:rsidRPr="008D36EF">
        <w:t>, či koncentrácia podlieha kontrole úradu</w:t>
      </w:r>
      <w:r>
        <w:t>, je potrebné</w:t>
      </w:r>
      <w:r w:rsidRPr="008D36EF">
        <w:t xml:space="preserve"> </w:t>
      </w:r>
      <w:r>
        <w:t>v prvom rade</w:t>
      </w:r>
      <w:r w:rsidRPr="008D36EF">
        <w:t xml:space="preserve"> správne určiť</w:t>
      </w:r>
      <w:r>
        <w:t>, o aký typ koncentrácie ide a v nadväznosti na to identifikovať účastníkov koncentrácie. V ďalšom kroku, ak koncentrácia podlieha kontrole úradu, je nevyhnutné správne určiť oznamovateľa, resp. oznamovateľov koncentrácie, a teda účastníka, resp. účastníkov správneho konania.</w:t>
      </w:r>
    </w:p>
    <w:p w14:paraId="7EA7C677" w14:textId="77777777" w:rsidR="007066E0" w:rsidRDefault="007066E0" w:rsidP="002D6F9D">
      <w:pPr>
        <w:pStyle w:val="Default"/>
        <w:spacing w:line="276" w:lineRule="auto"/>
        <w:ind w:left="426"/>
        <w:jc w:val="both"/>
      </w:pPr>
    </w:p>
    <w:p w14:paraId="5E4698A6" w14:textId="0E692BE5" w:rsidR="007066E0" w:rsidRDefault="007066E0" w:rsidP="002D6F9D">
      <w:pPr>
        <w:pStyle w:val="Default"/>
        <w:spacing w:line="276" w:lineRule="auto"/>
        <w:ind w:left="426"/>
        <w:jc w:val="both"/>
        <w:rPr>
          <w:color w:val="auto"/>
        </w:rPr>
      </w:pPr>
      <w:r>
        <w:t>A teda je nevyhnutné rozlišovať medzi troma pojmami – účastník koncentrácie, oznamovateľ koncentrácie a účastník správneho konania. Účastník koncentrácie je podnikateľ</w:t>
      </w:r>
      <w:r w:rsidRPr="00172829">
        <w:rPr>
          <w:rStyle w:val="Odkaznapoznmkupodiarou"/>
          <w:rFonts w:ascii="Arial" w:hAnsi="Arial" w:cs="Arial"/>
          <w:i/>
        </w:rPr>
        <w:footnoteReference w:id="1"/>
      </w:r>
      <w:r>
        <w:t xml:space="preserve"> identifikovaný podľa princípov uvedených v tomto usmernení. Oznamovateľ koncentrácie je podnikateľ, ktorý úradu podľa § 9 ods. 2 zákona podáva oznámenie koncentrácie. </w:t>
      </w:r>
      <w:r w:rsidRPr="00683C15">
        <w:t>Uvedené ustanovenie špecifikuje oznamovateľov koncentrácie pre viaceré typy transakcií, ktorými dochádza ku koncentrácii, čo ale možno zovšeobecniť tak, že ak koncentrácia spočíva v zlúčení alebo splynutí samostatných podnikateľov, oznámenie koncentrácie podávajú účastníci koncentrácie spoločne a ak koncentrácia spočíva v získaní kontroly, oznámenie koncentrácie podáva nadobúdateľ kontroly.</w:t>
      </w:r>
      <w:r>
        <w:t xml:space="preserve"> </w:t>
      </w:r>
      <w:r w:rsidRPr="000C642E">
        <w:t>Oznamovateľ koncentrácie je zárove</w:t>
      </w:r>
      <w:r>
        <w:t xml:space="preserve">ň účastníkom správneho konania, kedy podľa </w:t>
      </w:r>
      <w:r w:rsidRPr="008D36EF">
        <w:rPr>
          <w:color w:val="auto"/>
        </w:rPr>
        <w:t>§ 2</w:t>
      </w:r>
      <w:r>
        <w:rPr>
          <w:color w:val="auto"/>
        </w:rPr>
        <w:t>0</w:t>
      </w:r>
      <w:r w:rsidRPr="008D36EF">
        <w:rPr>
          <w:color w:val="auto"/>
        </w:rPr>
        <w:t xml:space="preserve"> ods. </w:t>
      </w:r>
      <w:r>
        <w:rPr>
          <w:color w:val="auto"/>
        </w:rPr>
        <w:t>1</w:t>
      </w:r>
      <w:r w:rsidRPr="008D36EF">
        <w:rPr>
          <w:color w:val="auto"/>
        </w:rPr>
        <w:t xml:space="preserve"> písm. c) zákona</w:t>
      </w:r>
      <w:r>
        <w:rPr>
          <w:color w:val="auto"/>
        </w:rPr>
        <w:t xml:space="preserve"> </w:t>
      </w:r>
      <w:r>
        <w:t xml:space="preserve">účastníkom </w:t>
      </w:r>
      <w:r w:rsidRPr="00D04F7D">
        <w:rPr>
          <w:color w:val="auto"/>
        </w:rPr>
        <w:t>správneho konania vo veci</w:t>
      </w:r>
      <w:r w:rsidRPr="008D36EF">
        <w:rPr>
          <w:color w:val="auto"/>
        </w:rPr>
        <w:t xml:space="preserve"> koncentrácie, ktorou dochádza k</w:t>
      </w:r>
      <w:r>
        <w:rPr>
          <w:color w:val="auto"/>
        </w:rPr>
        <w:t xml:space="preserve"> </w:t>
      </w:r>
      <w:r w:rsidRPr="008D36EF">
        <w:rPr>
          <w:color w:val="auto"/>
        </w:rPr>
        <w:t xml:space="preserve">zlúčeniu alebo splynutiu doposiaľ samostatných podnikateľov, je </w:t>
      </w:r>
      <w:r>
        <w:rPr>
          <w:color w:val="auto"/>
        </w:rPr>
        <w:t xml:space="preserve">fyzická alebo právnická osoba, ktorá sa zlučuje alebo splýva a podľa </w:t>
      </w:r>
      <w:r w:rsidRPr="008D36EF">
        <w:rPr>
          <w:color w:val="auto"/>
        </w:rPr>
        <w:t>§ 2</w:t>
      </w:r>
      <w:r>
        <w:rPr>
          <w:color w:val="auto"/>
        </w:rPr>
        <w:t>0</w:t>
      </w:r>
      <w:r w:rsidRPr="008D36EF">
        <w:rPr>
          <w:color w:val="auto"/>
        </w:rPr>
        <w:t xml:space="preserve"> ods. </w:t>
      </w:r>
      <w:r>
        <w:rPr>
          <w:color w:val="auto"/>
        </w:rPr>
        <w:t>1</w:t>
      </w:r>
      <w:r w:rsidRPr="008D36EF">
        <w:rPr>
          <w:color w:val="auto"/>
        </w:rPr>
        <w:t xml:space="preserve"> </w:t>
      </w:r>
      <w:r w:rsidRPr="008D36EF">
        <w:rPr>
          <w:color w:val="auto"/>
        </w:rPr>
        <w:lastRenderedPageBreak/>
        <w:t>písm. d) zákona</w:t>
      </w:r>
      <w:r>
        <w:rPr>
          <w:color w:val="auto"/>
        </w:rPr>
        <w:t xml:space="preserve"> účastníkom správneho konania vo veci koncentrácie, ktorou dochádza k získaniu kontroly je fyzická alebo právnická osoba, ktorá získava priamu alebo nepriamu kontrolu.</w:t>
      </w:r>
      <w:r w:rsidRPr="008D36EF">
        <w:rPr>
          <w:color w:val="auto"/>
        </w:rPr>
        <w:t xml:space="preserve"> </w:t>
      </w:r>
    </w:p>
    <w:p w14:paraId="555B1416" w14:textId="77777777" w:rsidR="007066E0" w:rsidRDefault="007066E0" w:rsidP="002D6F9D">
      <w:pPr>
        <w:pStyle w:val="Default"/>
        <w:spacing w:line="276" w:lineRule="auto"/>
        <w:jc w:val="both"/>
      </w:pPr>
    </w:p>
    <w:p w14:paraId="67F08BAF" w14:textId="77777777" w:rsidR="002D6F9D" w:rsidRPr="002D6F9D" w:rsidRDefault="007066E0" w:rsidP="002D6F9D">
      <w:pPr>
        <w:pStyle w:val="Default"/>
        <w:numPr>
          <w:ilvl w:val="0"/>
          <w:numId w:val="28"/>
        </w:numPr>
        <w:spacing w:after="240" w:line="276" w:lineRule="auto"/>
        <w:jc w:val="both"/>
      </w:pPr>
      <w:r>
        <w:t>P</w:t>
      </w:r>
      <w:r w:rsidRPr="008D36EF">
        <w:t xml:space="preserve">ri predkladaní podkladov a informácií </w:t>
      </w:r>
      <w:r>
        <w:t>ustanovených</w:t>
      </w:r>
      <w:r w:rsidRPr="008D36EF">
        <w:t xml:space="preserve"> vyhlášk</w:t>
      </w:r>
      <w:r>
        <w:t>o</w:t>
      </w:r>
      <w:r w:rsidRPr="008D36EF">
        <w:t xml:space="preserve">u je dôležité vychádzať zo správneho určenia účastníkov koncentrácie, aby tak podnikateľ predišiel zbytočnému predlžovaniu obdobia, kedy oznámenie koncentrácie je neúplné, v dôsledku čoho lehota na vydanie rozhodnutia vo veci koncentrácie podľa § </w:t>
      </w:r>
      <w:r>
        <w:t xml:space="preserve">35 ods. 1 </w:t>
      </w:r>
      <w:r w:rsidRPr="008D36EF">
        <w:t xml:space="preserve">zákona neplynie. </w:t>
      </w:r>
      <w:r>
        <w:t xml:space="preserve"> Taktiež je nevyhnutné si uvedomiť, že na účely vyhlášky, a teda ustanovenia rozsahu predkladaných podkladov a informácií, pojem účastník koncentrácie zahŕňa aj každého podnikateľa, ktorý </w:t>
      </w:r>
      <w:r w:rsidRPr="00381D5E">
        <w:rPr>
          <w:color w:val="auto"/>
        </w:rPr>
        <w:t>priamo alebo nepriamo</w:t>
      </w:r>
    </w:p>
    <w:p w14:paraId="560D0443" w14:textId="77777777" w:rsidR="002D6F9D" w:rsidRDefault="007066E0" w:rsidP="002D6F9D">
      <w:pPr>
        <w:pStyle w:val="Default"/>
        <w:numPr>
          <w:ilvl w:val="0"/>
          <w:numId w:val="30"/>
        </w:numPr>
        <w:spacing w:line="276" w:lineRule="auto"/>
        <w:jc w:val="both"/>
      </w:pPr>
      <w:r>
        <w:t>kontroluje účastníka koncentrácie</w:t>
      </w:r>
      <w:r w:rsidR="002D6F9D">
        <w:t>,</w:t>
      </w:r>
    </w:p>
    <w:p w14:paraId="4C88D218" w14:textId="77777777" w:rsidR="002D6F9D" w:rsidRDefault="007066E0" w:rsidP="002D6F9D">
      <w:pPr>
        <w:pStyle w:val="Default"/>
        <w:numPr>
          <w:ilvl w:val="0"/>
          <w:numId w:val="30"/>
        </w:numPr>
        <w:spacing w:line="276" w:lineRule="auto"/>
        <w:jc w:val="both"/>
      </w:pPr>
      <w:r>
        <w:t>je kontrolovaný účastníkom koncentrácie</w:t>
      </w:r>
      <w:r w:rsidR="002D6F9D">
        <w:t>,</w:t>
      </w:r>
    </w:p>
    <w:p w14:paraId="3269F21D" w14:textId="77777777" w:rsidR="002D6F9D" w:rsidRDefault="007066E0" w:rsidP="002D6F9D">
      <w:pPr>
        <w:pStyle w:val="Default"/>
        <w:numPr>
          <w:ilvl w:val="0"/>
          <w:numId w:val="30"/>
        </w:numPr>
        <w:spacing w:after="240" w:line="276" w:lineRule="auto"/>
        <w:jc w:val="both"/>
      </w:pPr>
      <w:r>
        <w:t xml:space="preserve">je kontrolovaný podnikateľom podľa písmena a), ak vyhláška nestanovuje niečo iné. </w:t>
      </w:r>
    </w:p>
    <w:p w14:paraId="221E6C88" w14:textId="1368D328" w:rsidR="007066E0" w:rsidRDefault="007066E0" w:rsidP="002D6F9D">
      <w:pPr>
        <w:pStyle w:val="Default"/>
        <w:spacing w:line="276" w:lineRule="auto"/>
        <w:ind w:left="360"/>
        <w:jc w:val="both"/>
      </w:pPr>
      <w:r>
        <w:t>A</w:t>
      </w:r>
      <w:r w:rsidR="002D6F9D">
        <w:t> </w:t>
      </w:r>
      <w:r>
        <w:t>teda</w:t>
      </w:r>
      <w:r w:rsidR="002D6F9D">
        <w:t>,</w:t>
      </w:r>
      <w:r>
        <w:t xml:space="preserve"> ak vyhláška nestanovuje niečo iné, je nevyhnutné predložiť podklady a informácie ustanovené vyhláškou za všetky tieto subjekty. Tu je účelom vyhlášky predloženie komplexných informácií za podnikateľa podľa § 3 ods. 1 zákona ako ekonomickej entity založenej na vzťahoch kontroly.</w:t>
      </w:r>
    </w:p>
    <w:p w14:paraId="04365D66" w14:textId="77777777" w:rsidR="007066E0" w:rsidRDefault="007066E0" w:rsidP="002D6F9D">
      <w:pPr>
        <w:pStyle w:val="Default"/>
        <w:spacing w:line="276" w:lineRule="auto"/>
        <w:ind w:left="426" w:hanging="426"/>
        <w:jc w:val="both"/>
      </w:pPr>
    </w:p>
    <w:p w14:paraId="34A9CA2D" w14:textId="77777777" w:rsidR="007066E0" w:rsidRDefault="007066E0" w:rsidP="002D6F9D">
      <w:pPr>
        <w:pStyle w:val="Default"/>
        <w:numPr>
          <w:ilvl w:val="0"/>
          <w:numId w:val="28"/>
        </w:numPr>
        <w:spacing w:line="276" w:lineRule="auto"/>
        <w:jc w:val="both"/>
      </w:pPr>
      <w:r w:rsidRPr="00AA4912">
        <w:t>Toto</w:t>
      </w:r>
      <w:r>
        <w:t xml:space="preserve"> usmernenie</w:t>
      </w:r>
      <w:r w:rsidRPr="008D36EF">
        <w:t xml:space="preserve"> úrad zverejňuje s cieľom napomôcť podnikateľom správne určiť </w:t>
      </w:r>
      <w:r>
        <w:t>v rámci posudzovania, či ide o </w:t>
      </w:r>
      <w:proofErr w:type="spellStart"/>
      <w:r>
        <w:t>notifikovateľnú</w:t>
      </w:r>
      <w:proofErr w:type="spellEnd"/>
      <w:r>
        <w:t xml:space="preserve"> koncentráciu – teda či sú naplnené obratové kritériá podľa § 8 ods. 2 a </w:t>
      </w:r>
      <w:proofErr w:type="spellStart"/>
      <w:r>
        <w:t>nasl</w:t>
      </w:r>
      <w:proofErr w:type="spellEnd"/>
      <w:r>
        <w:t xml:space="preserve">. zákona, jej </w:t>
      </w:r>
      <w:r w:rsidRPr="008D36EF">
        <w:t>účastníkov</w:t>
      </w:r>
      <w:r w:rsidRPr="001B755A">
        <w:t xml:space="preserve">. </w:t>
      </w:r>
      <w:r w:rsidRPr="008D36EF">
        <w:t xml:space="preserve">V časti 2 </w:t>
      </w:r>
      <w:r>
        <w:t xml:space="preserve">sa uvádzajú základné </w:t>
      </w:r>
      <w:r w:rsidRPr="008D36EF">
        <w:t>princíp</w:t>
      </w:r>
      <w:r>
        <w:t>y</w:t>
      </w:r>
      <w:r w:rsidRPr="008D36EF">
        <w:t xml:space="preserve"> určovania účastníkov koncentrácie</w:t>
      </w:r>
      <w:r>
        <w:t xml:space="preserve">, ktoré všeobecne platia pre základné typy koncentrácií, v časti 3 sa uvádzajú podrobnosti určovania účastníkov koncentrácie v prípade koncentrácií spočívajúcich v získaní kontroly, pričom časť 3.1. upravuje osobitné princípy určovania účastníkov koncentrácie </w:t>
      </w:r>
      <w:r w:rsidRPr="001B755A">
        <w:t xml:space="preserve">na strane nadobúdateľa kontroly v prípade získania nepriamej kontroly a v časti </w:t>
      </w:r>
      <w:r>
        <w:t>3.2.</w:t>
      </w:r>
      <w:r w:rsidRPr="001B755A">
        <w:t xml:space="preserve"> sa dôkladnejšie rozoberá</w:t>
      </w:r>
      <w:r>
        <w:t xml:space="preserve">, ako sa aplikujú základné princípy určovania účastníkov koncentrácie pri niektorých konkrétnych formách získania kontroly. </w:t>
      </w:r>
    </w:p>
    <w:p w14:paraId="70BDFC0F" w14:textId="77777777" w:rsidR="007066E0" w:rsidRDefault="007066E0" w:rsidP="002D6F9D">
      <w:pPr>
        <w:pStyle w:val="Default"/>
        <w:spacing w:line="276" w:lineRule="auto"/>
        <w:ind w:left="360"/>
        <w:jc w:val="both"/>
      </w:pPr>
    </w:p>
    <w:p w14:paraId="437BB1E0" w14:textId="14DE3AAF" w:rsidR="007066E0" w:rsidRDefault="007066E0" w:rsidP="002D6F9D">
      <w:pPr>
        <w:pStyle w:val="Default"/>
        <w:spacing w:line="276" w:lineRule="auto"/>
        <w:ind w:left="360"/>
        <w:jc w:val="both"/>
        <w:rPr>
          <w:b/>
          <w:bCs/>
        </w:rPr>
      </w:pPr>
      <w:r>
        <w:rPr>
          <w:color w:val="auto"/>
        </w:rPr>
        <w:t>A teda, v konkrétnom prípade je vždy potrebné, aby si podnikateľ okrem zistenia základných princípov podľa časti 2 tohto usmernenia overil, či ide o prípad koncentrácie, ktorej sa venuje časť 3 tohto usmernenia a postupoval podľa tam uvedenej konkrétnejšej úpravy. V ostatných prípadoch, resp. rozsahu sa postupuje podľa časti 2, ktorá obsahuje základné všeobecné princípy určovania účastníkov koncentrácie.</w:t>
      </w:r>
    </w:p>
    <w:p w14:paraId="7B63C3E6" w14:textId="77777777" w:rsidR="007066E0" w:rsidRDefault="007066E0" w:rsidP="002D6F9D">
      <w:pPr>
        <w:pStyle w:val="Default"/>
        <w:spacing w:line="276" w:lineRule="auto"/>
        <w:jc w:val="both"/>
        <w:rPr>
          <w:b/>
          <w:bCs/>
        </w:rPr>
      </w:pPr>
    </w:p>
    <w:p w14:paraId="76D46D64" w14:textId="77777777" w:rsidR="002D6F9D" w:rsidRDefault="002D6F9D">
      <w:pPr>
        <w:spacing w:line="259" w:lineRule="auto"/>
        <w:rPr>
          <w:rFonts w:ascii="Arimo" w:hAnsi="Arimo" w:cs="Arimo"/>
          <w:b/>
          <w:bCs/>
          <w:color w:val="1E4E9D"/>
          <w:sz w:val="28"/>
          <w:szCs w:val="24"/>
        </w:rPr>
      </w:pPr>
      <w:r>
        <w:rPr>
          <w:b/>
          <w:bCs/>
          <w:color w:val="1E4E9D"/>
          <w:sz w:val="28"/>
        </w:rPr>
        <w:br w:type="page"/>
      </w:r>
    </w:p>
    <w:p w14:paraId="3D5F537A" w14:textId="2DF4D860" w:rsidR="007066E0" w:rsidRPr="007066E0" w:rsidRDefault="007066E0" w:rsidP="00F24A06">
      <w:pPr>
        <w:pStyle w:val="Default"/>
        <w:spacing w:line="276" w:lineRule="auto"/>
        <w:ind w:hanging="142"/>
        <w:jc w:val="both"/>
        <w:rPr>
          <w:b/>
          <w:color w:val="1E4E9D"/>
          <w:sz w:val="28"/>
        </w:rPr>
      </w:pPr>
      <w:r w:rsidRPr="007066E0">
        <w:rPr>
          <w:b/>
          <w:bCs/>
          <w:color w:val="1E4E9D"/>
          <w:sz w:val="28"/>
        </w:rPr>
        <w:lastRenderedPageBreak/>
        <w:t>2</w:t>
      </w:r>
      <w:r w:rsidR="00F24A06">
        <w:rPr>
          <w:b/>
          <w:bCs/>
          <w:color w:val="1E4E9D"/>
          <w:sz w:val="28"/>
        </w:rPr>
        <w:t xml:space="preserve">  </w:t>
      </w:r>
      <w:r w:rsidRPr="00F24A06">
        <w:rPr>
          <w:bCs/>
          <w:color w:val="1E4E9D"/>
          <w:sz w:val="10"/>
          <w:szCs w:val="9"/>
        </w:rPr>
        <w:t xml:space="preserve"> </w:t>
      </w:r>
      <w:r w:rsidR="00F24A06">
        <w:rPr>
          <w:bCs/>
          <w:color w:val="1E4E9D"/>
          <w:sz w:val="10"/>
          <w:szCs w:val="9"/>
        </w:rPr>
        <w:t xml:space="preserve"> </w:t>
      </w:r>
      <w:r w:rsidRPr="007066E0">
        <w:rPr>
          <w:b/>
          <w:bCs/>
          <w:color w:val="1E4E9D"/>
          <w:sz w:val="28"/>
        </w:rPr>
        <w:t>ZÁKLADNÉ PRINCÍPY URČOVANIA ÚČASTNÍKOV</w:t>
      </w:r>
      <w:r w:rsidR="00F24A06">
        <w:rPr>
          <w:b/>
          <w:bCs/>
          <w:color w:val="1E4E9D"/>
          <w:sz w:val="28"/>
        </w:rPr>
        <w:t xml:space="preserve"> KONCENTRÁCIE</w:t>
      </w:r>
    </w:p>
    <w:p w14:paraId="0D125227" w14:textId="56E86E6F" w:rsidR="007066E0" w:rsidRDefault="007066E0" w:rsidP="002D6F9D">
      <w:pPr>
        <w:pStyle w:val="Default"/>
        <w:spacing w:line="276" w:lineRule="auto"/>
        <w:jc w:val="both"/>
        <w:rPr>
          <w:b/>
        </w:rPr>
      </w:pPr>
    </w:p>
    <w:p w14:paraId="12E66C0D" w14:textId="61AE585E" w:rsidR="007066E0" w:rsidRDefault="007066E0" w:rsidP="002D6F9D">
      <w:pPr>
        <w:pStyle w:val="Default"/>
        <w:numPr>
          <w:ilvl w:val="0"/>
          <w:numId w:val="28"/>
        </w:numPr>
        <w:spacing w:after="240" w:line="276" w:lineRule="auto"/>
        <w:ind w:left="426" w:hanging="426"/>
        <w:jc w:val="both"/>
      </w:pPr>
      <w:r>
        <w:t xml:space="preserve">V prvom kroku je nevyhnutné identifikovať, o aký typ koncentrácie v danom prípade </w:t>
      </w:r>
      <w:r w:rsidR="002D6F9D">
        <w:t>ide</w:t>
      </w:r>
      <w:r>
        <w:t>. Znamená to, že je potrebné špecifikovať, či ide o koncentráciu spočívajúcu v</w:t>
      </w:r>
    </w:p>
    <w:p w14:paraId="5D782683" w14:textId="4FFF45CE" w:rsidR="002D6F9D" w:rsidRDefault="007066E0" w:rsidP="002D6F9D">
      <w:pPr>
        <w:pStyle w:val="Default"/>
        <w:numPr>
          <w:ilvl w:val="0"/>
          <w:numId w:val="31"/>
        </w:numPr>
        <w:spacing w:line="276" w:lineRule="auto"/>
        <w:ind w:left="851" w:hanging="425"/>
        <w:jc w:val="both"/>
      </w:pPr>
      <w:r>
        <w:t>zlúčení alebo splynutí podnikateľov podľa § 7 ods. 1 písm. a) zákona</w:t>
      </w:r>
      <w:r w:rsidR="002D6F9D">
        <w:t xml:space="preserve"> </w:t>
      </w:r>
      <w:r>
        <w:t>alebo</w:t>
      </w:r>
      <w:r w:rsidR="002D6F9D">
        <w:br/>
      </w:r>
    </w:p>
    <w:p w14:paraId="54B67C73" w14:textId="61463550" w:rsidR="007066E0" w:rsidRDefault="002D6F9D" w:rsidP="002D6F9D">
      <w:pPr>
        <w:pStyle w:val="Default"/>
        <w:numPr>
          <w:ilvl w:val="0"/>
          <w:numId w:val="31"/>
        </w:numPr>
        <w:spacing w:after="240" w:line="276" w:lineRule="auto"/>
        <w:ind w:left="851" w:hanging="425"/>
        <w:jc w:val="both"/>
      </w:pPr>
      <w:r>
        <w:t>z</w:t>
      </w:r>
      <w:r w:rsidR="007066E0">
        <w:t>ískaní kontroly</w:t>
      </w:r>
      <w:r w:rsidR="007066E0" w:rsidRPr="00172829">
        <w:rPr>
          <w:rStyle w:val="Odkaznapoznmkupodiarou"/>
          <w:rFonts w:ascii="Arial" w:hAnsi="Arial" w:cs="Arial"/>
          <w:i/>
        </w:rPr>
        <w:footnoteReference w:id="2"/>
      </w:r>
      <w:r w:rsidR="007066E0">
        <w:t xml:space="preserve"> podnikateľa alebo podnikateľov nad iným podnikateľom alebo inými podnikateľmi alebo nad časťou podnikateľa podľa § 7 ods. 1 písm. b) zákona, pričom v týchto prípadoch je potrebné taktiež identifikovať, či </w:t>
      </w:r>
      <w:r>
        <w:t>ide</w:t>
      </w:r>
      <w:r w:rsidR="007066E0">
        <w:t xml:space="preserve"> o získanie</w:t>
      </w:r>
    </w:p>
    <w:p w14:paraId="2CA6440C" w14:textId="78E71993" w:rsidR="002D6F9D" w:rsidRDefault="007066E0" w:rsidP="002D6F9D">
      <w:pPr>
        <w:pStyle w:val="Default"/>
        <w:numPr>
          <w:ilvl w:val="0"/>
          <w:numId w:val="32"/>
        </w:numPr>
        <w:spacing w:after="240" w:line="276" w:lineRule="auto"/>
        <w:ind w:left="1276" w:hanging="425"/>
        <w:jc w:val="both"/>
      </w:pPr>
      <w:r>
        <w:t>výlučnej alebo spoločnej kontroly</w:t>
      </w:r>
      <w:r w:rsidR="002D6F9D">
        <w:t xml:space="preserve"> - </w:t>
      </w:r>
      <w:r w:rsidRPr="00D41282">
        <w:t>vrátane vytvorenia spoločného podniku</w:t>
      </w:r>
      <w:r>
        <w:t xml:space="preserve"> podľa § 7 ods. 5 zákona spoločne kontrolovaného dvoma alebo viacerými podnikateľmi, ktorý trvale vykonáva všetky funkcie samostatného ekonomického subjektu (ďalej len „plnofunkčný spoločný podnik“),</w:t>
      </w:r>
    </w:p>
    <w:p w14:paraId="6FBCC52F" w14:textId="77777777" w:rsidR="002D6F9D" w:rsidRDefault="007066E0" w:rsidP="002D6F9D">
      <w:pPr>
        <w:pStyle w:val="Default"/>
        <w:numPr>
          <w:ilvl w:val="0"/>
          <w:numId w:val="32"/>
        </w:numPr>
        <w:spacing w:after="240" w:line="276" w:lineRule="auto"/>
        <w:ind w:left="1276" w:hanging="425"/>
        <w:jc w:val="both"/>
      </w:pPr>
      <w:r>
        <w:t>priamej alebo nepriamej kontroly,</w:t>
      </w:r>
    </w:p>
    <w:p w14:paraId="65DCE39D" w14:textId="5A259B1E" w:rsidR="007066E0" w:rsidRDefault="007066E0" w:rsidP="002D6F9D">
      <w:pPr>
        <w:pStyle w:val="Default"/>
        <w:numPr>
          <w:ilvl w:val="0"/>
          <w:numId w:val="32"/>
        </w:numPr>
        <w:spacing w:line="276" w:lineRule="auto"/>
        <w:ind w:left="1276" w:hanging="425"/>
        <w:jc w:val="both"/>
      </w:pPr>
      <w:r>
        <w:t>(výlučnej/spoločnej priamej/nepriamej) kontroly nad jedným podnikateľom alebo viacerými podnikateľmi alebo nad časťou podnikateľa.</w:t>
      </w:r>
    </w:p>
    <w:p w14:paraId="6614F6D1" w14:textId="77777777" w:rsidR="007066E0" w:rsidRDefault="007066E0" w:rsidP="002D6F9D">
      <w:pPr>
        <w:pStyle w:val="Default"/>
        <w:spacing w:line="276" w:lineRule="auto"/>
        <w:ind w:left="708"/>
        <w:jc w:val="both"/>
      </w:pPr>
    </w:p>
    <w:p w14:paraId="4D4DA8A3" w14:textId="77777777" w:rsidR="007066E0" w:rsidRPr="008D36EF" w:rsidRDefault="007066E0" w:rsidP="002D6F9D">
      <w:pPr>
        <w:pStyle w:val="Default"/>
        <w:numPr>
          <w:ilvl w:val="0"/>
          <w:numId w:val="28"/>
        </w:numPr>
        <w:spacing w:line="276" w:lineRule="auto"/>
        <w:ind w:left="426" w:hanging="426"/>
        <w:jc w:val="both"/>
      </w:pPr>
      <w:r>
        <w:t>Ak</w:t>
      </w:r>
      <w:r w:rsidRPr="008D36EF">
        <w:t xml:space="preserve"> koncentrácia spočíva v zlúčení alebo splynutí </w:t>
      </w:r>
      <w:r>
        <w:t xml:space="preserve">dvoch alebo viacerých samostatných podnikateľov </w:t>
      </w:r>
      <w:r w:rsidRPr="008D36EF">
        <w:t xml:space="preserve">podľa § </w:t>
      </w:r>
      <w:r>
        <w:t>7</w:t>
      </w:r>
      <w:r w:rsidRPr="008D36EF">
        <w:t xml:space="preserve"> ods. 1 písm. a) zákona, </w:t>
      </w:r>
      <w:r>
        <w:t xml:space="preserve">platí základné pravidlo, že </w:t>
      </w:r>
      <w:r w:rsidRPr="008D36EF">
        <w:t>účastníkmi koncentrácie sú</w:t>
      </w:r>
      <w:r>
        <w:t xml:space="preserve"> všetci tí</w:t>
      </w:r>
      <w:r w:rsidRPr="008D36EF">
        <w:t xml:space="preserve"> podnikatelia, ktorí sa zlučujú alebo splývajú. </w:t>
      </w:r>
    </w:p>
    <w:p w14:paraId="374B4098" w14:textId="77777777" w:rsidR="007066E0" w:rsidRPr="008D36EF" w:rsidRDefault="007066E0" w:rsidP="002D6F9D">
      <w:pPr>
        <w:pStyle w:val="Default"/>
        <w:spacing w:line="276" w:lineRule="auto"/>
        <w:ind w:left="426" w:hanging="426"/>
        <w:jc w:val="both"/>
      </w:pPr>
    </w:p>
    <w:p w14:paraId="5CF9D6B7" w14:textId="733A69CA" w:rsidR="007066E0" w:rsidRDefault="007066E0" w:rsidP="002D6F9D">
      <w:pPr>
        <w:pStyle w:val="Default"/>
        <w:numPr>
          <w:ilvl w:val="0"/>
          <w:numId w:val="28"/>
        </w:numPr>
        <w:spacing w:line="276" w:lineRule="auto"/>
        <w:ind w:left="426" w:hanging="426"/>
        <w:jc w:val="both"/>
      </w:pPr>
      <w:r w:rsidRPr="008D36EF">
        <w:t>V prípad</w:t>
      </w:r>
      <w:r>
        <w:t>e</w:t>
      </w:r>
      <w:r w:rsidRPr="008D36EF">
        <w:t xml:space="preserve"> koncentrácií podľa § </w:t>
      </w:r>
      <w:r>
        <w:t>7</w:t>
      </w:r>
      <w:r w:rsidRPr="008D36EF">
        <w:t xml:space="preserve"> ods. 1 písm. b) zákona je nevyhnutné určiť účastníka koncentrácie jednak na strane nadobúdateľa kontroly a jednak na strane nadobúdaného</w:t>
      </w:r>
      <w:r>
        <w:t>.</w:t>
      </w:r>
    </w:p>
    <w:p w14:paraId="77AF1FF7" w14:textId="77777777" w:rsidR="007066E0" w:rsidRPr="008D36EF" w:rsidRDefault="007066E0" w:rsidP="002D6F9D">
      <w:pPr>
        <w:pStyle w:val="Default"/>
        <w:spacing w:line="276" w:lineRule="auto"/>
        <w:ind w:left="426" w:hanging="426"/>
        <w:jc w:val="both"/>
        <w:rPr>
          <w:color w:val="auto"/>
        </w:rPr>
      </w:pPr>
    </w:p>
    <w:p w14:paraId="146A3FBE"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 xml:space="preserve">Na strane nadobúdateľa kontroly môže byť účastníkom koncentrácie jeden podnikateľ alebo viacero podnikateľov. </w:t>
      </w:r>
      <w:r>
        <w:rPr>
          <w:color w:val="auto"/>
        </w:rPr>
        <w:t>Ak</w:t>
      </w:r>
      <w:r w:rsidRPr="008D36EF">
        <w:rPr>
          <w:color w:val="auto"/>
        </w:rPr>
        <w:t xml:space="preserve"> podnikateľ koncentráciou získava </w:t>
      </w:r>
      <w:r>
        <w:rPr>
          <w:color w:val="auto"/>
        </w:rPr>
        <w:t>výlučnú kontrolu</w:t>
      </w:r>
      <w:r w:rsidRPr="008D36EF">
        <w:rPr>
          <w:color w:val="auto"/>
        </w:rPr>
        <w:t xml:space="preserve">, </w:t>
      </w:r>
      <w:r>
        <w:rPr>
          <w:color w:val="auto"/>
        </w:rPr>
        <w:t xml:space="preserve">je </w:t>
      </w:r>
      <w:r w:rsidRPr="008D36EF">
        <w:rPr>
          <w:color w:val="auto"/>
        </w:rPr>
        <w:t>na strane nadobúdateľa kontroly účastníkom koncentrácie</w:t>
      </w:r>
      <w:r>
        <w:rPr>
          <w:color w:val="auto"/>
        </w:rPr>
        <w:t xml:space="preserve"> len</w:t>
      </w:r>
      <w:r w:rsidRPr="008D36EF">
        <w:rPr>
          <w:color w:val="auto"/>
        </w:rPr>
        <w:t xml:space="preserve"> </w:t>
      </w:r>
      <w:r>
        <w:rPr>
          <w:color w:val="auto"/>
        </w:rPr>
        <w:t xml:space="preserve">tento </w:t>
      </w:r>
      <w:r w:rsidRPr="008D36EF">
        <w:rPr>
          <w:color w:val="auto"/>
        </w:rPr>
        <w:t xml:space="preserve">podnikateľ. Ak </w:t>
      </w:r>
      <w:r>
        <w:rPr>
          <w:color w:val="auto"/>
        </w:rPr>
        <w:t xml:space="preserve">sa </w:t>
      </w:r>
      <w:r w:rsidRPr="008D36EF">
        <w:rPr>
          <w:color w:val="auto"/>
        </w:rPr>
        <w:t>koncentráci</w:t>
      </w:r>
      <w:r>
        <w:rPr>
          <w:color w:val="auto"/>
        </w:rPr>
        <w:t>ou získava spoločná kontrola viacerými podnikateľmi</w:t>
      </w:r>
      <w:r w:rsidRPr="008D36EF">
        <w:rPr>
          <w:color w:val="auto"/>
        </w:rPr>
        <w:t>,</w:t>
      </w:r>
      <w:r>
        <w:rPr>
          <w:color w:val="auto"/>
        </w:rPr>
        <w:t xml:space="preserve"> </w:t>
      </w:r>
      <w:r w:rsidRPr="008D36EF">
        <w:rPr>
          <w:color w:val="auto"/>
        </w:rPr>
        <w:t>na strane nadobúdateľ</w:t>
      </w:r>
      <w:r>
        <w:rPr>
          <w:color w:val="auto"/>
        </w:rPr>
        <w:t>ov</w:t>
      </w:r>
      <w:r w:rsidRPr="008D36EF">
        <w:rPr>
          <w:color w:val="auto"/>
        </w:rPr>
        <w:t xml:space="preserve"> </w:t>
      </w:r>
      <w:r>
        <w:rPr>
          <w:color w:val="auto"/>
        </w:rPr>
        <w:t xml:space="preserve">spoločnej </w:t>
      </w:r>
      <w:r w:rsidRPr="008D36EF">
        <w:rPr>
          <w:color w:val="auto"/>
        </w:rPr>
        <w:t xml:space="preserve">kontroly </w:t>
      </w:r>
      <w:r>
        <w:rPr>
          <w:color w:val="auto"/>
        </w:rPr>
        <w:t>sú</w:t>
      </w:r>
      <w:r w:rsidRPr="008D36EF">
        <w:rPr>
          <w:color w:val="auto"/>
        </w:rPr>
        <w:t xml:space="preserve"> účastníkmi koncentrácie </w:t>
      </w:r>
      <w:r>
        <w:rPr>
          <w:color w:val="auto"/>
        </w:rPr>
        <w:t xml:space="preserve">všetci </w:t>
      </w:r>
      <w:r w:rsidRPr="008D36EF">
        <w:rPr>
          <w:color w:val="auto"/>
        </w:rPr>
        <w:t xml:space="preserve">podnikatelia získavajúci spoločnú kontrolu. </w:t>
      </w:r>
    </w:p>
    <w:p w14:paraId="1090DBE5" w14:textId="6A7406D4" w:rsidR="007066E0" w:rsidRPr="00A2045D" w:rsidRDefault="007066E0" w:rsidP="002D6F9D">
      <w:pPr>
        <w:pStyle w:val="Default"/>
        <w:numPr>
          <w:ilvl w:val="0"/>
          <w:numId w:val="28"/>
        </w:numPr>
        <w:spacing w:line="276" w:lineRule="auto"/>
        <w:jc w:val="both"/>
        <w:rPr>
          <w:color w:val="auto"/>
        </w:rPr>
      </w:pPr>
      <w:r>
        <w:rPr>
          <w:color w:val="auto"/>
        </w:rPr>
        <w:lastRenderedPageBreak/>
        <w:t>P</w:t>
      </w:r>
      <w:r w:rsidR="00172829">
        <w:rPr>
          <w:color w:val="auto"/>
        </w:rPr>
        <w:t>r</w:t>
      </w:r>
      <w:r>
        <w:rPr>
          <w:color w:val="auto"/>
        </w:rPr>
        <w:t xml:space="preserve">i určovaní účastníka koncentrácie na strane nadobúdaného je nevyhnutné zohľadniť ustanovenie  § 8 ods. 3 zákona a definíciu pojmu podnikateľ podľa § 3 ods. 1 zákona. </w:t>
      </w:r>
    </w:p>
    <w:p w14:paraId="2050ACB2" w14:textId="77777777" w:rsidR="007066E0" w:rsidRDefault="007066E0" w:rsidP="00172829">
      <w:pPr>
        <w:pStyle w:val="Odsekzoznamu"/>
        <w:spacing w:after="0" w:line="276" w:lineRule="auto"/>
        <w:ind w:left="426"/>
      </w:pPr>
    </w:p>
    <w:p w14:paraId="51FDED99" w14:textId="13C5412E" w:rsidR="007066E0" w:rsidRDefault="007066E0" w:rsidP="00172829">
      <w:pPr>
        <w:pStyle w:val="Default"/>
        <w:spacing w:line="276" w:lineRule="auto"/>
        <w:ind w:left="360"/>
        <w:jc w:val="both"/>
        <w:rPr>
          <w:color w:val="auto"/>
        </w:rPr>
      </w:pPr>
      <w:r>
        <w:rPr>
          <w:color w:val="auto"/>
        </w:rPr>
        <w:t>Vychádzajúc z § 8 ods. 3 zákona</w:t>
      </w:r>
      <w:r w:rsidR="00172829">
        <w:rPr>
          <w:color w:val="auto"/>
        </w:rPr>
        <w:t>,</w:t>
      </w:r>
      <w:r>
        <w:rPr>
          <w:color w:val="auto"/>
        </w:rPr>
        <w:t xml:space="preserve"> </w:t>
      </w:r>
      <w:r w:rsidRPr="000D2966">
        <w:rPr>
          <w:color w:val="auto"/>
        </w:rPr>
        <w:t xml:space="preserve">sa pri </w:t>
      </w:r>
      <w:r>
        <w:rPr>
          <w:color w:val="auto"/>
        </w:rPr>
        <w:t xml:space="preserve">koncentrácii, ktorá spočíva v </w:t>
      </w:r>
      <w:r w:rsidRPr="000D2966">
        <w:rPr>
          <w:color w:val="auto"/>
        </w:rPr>
        <w:t>získaní kontroly nad podnikateľom berie do úvahy obrat podnikateľa alebo tých častí, ktoré sú predmetom koncentrácie.</w:t>
      </w:r>
      <w:r>
        <w:rPr>
          <w:color w:val="auto"/>
        </w:rPr>
        <w:t xml:space="preserve"> N</w:t>
      </w:r>
      <w:r w:rsidRPr="00253BB3">
        <w:rPr>
          <w:color w:val="auto"/>
        </w:rPr>
        <w:t>a strane nadobúdaného je</w:t>
      </w:r>
      <w:r>
        <w:rPr>
          <w:color w:val="auto"/>
        </w:rPr>
        <w:t xml:space="preserve"> teda ú</w:t>
      </w:r>
      <w:r w:rsidRPr="00253BB3">
        <w:rPr>
          <w:color w:val="auto"/>
        </w:rPr>
        <w:t>častníkom koncentrácie podnikateľ alebo časť podnikateľa, ktorá je predmetom koncentrácie</w:t>
      </w:r>
      <w:r>
        <w:rPr>
          <w:color w:val="auto"/>
        </w:rPr>
        <w:t>.</w:t>
      </w:r>
    </w:p>
    <w:p w14:paraId="1590E49F" w14:textId="77777777" w:rsidR="007066E0" w:rsidRDefault="007066E0" w:rsidP="002D6F9D">
      <w:pPr>
        <w:pStyle w:val="Default"/>
        <w:spacing w:line="276" w:lineRule="auto"/>
        <w:ind w:left="426"/>
        <w:jc w:val="both"/>
        <w:rPr>
          <w:color w:val="auto"/>
        </w:rPr>
      </w:pPr>
    </w:p>
    <w:p w14:paraId="729F59A9" w14:textId="6A03EA9F" w:rsidR="007066E0" w:rsidRDefault="007066E0" w:rsidP="00172829">
      <w:pPr>
        <w:pStyle w:val="Default"/>
        <w:spacing w:line="276" w:lineRule="auto"/>
        <w:ind w:left="360"/>
        <w:jc w:val="both"/>
        <w:rPr>
          <w:color w:val="auto"/>
        </w:rPr>
      </w:pPr>
      <w:r>
        <w:rPr>
          <w:color w:val="auto"/>
        </w:rPr>
        <w:t>Predmetom získania kontroly môže byť nielen jeden subjekt</w:t>
      </w:r>
      <w:r w:rsidR="00172829">
        <w:rPr>
          <w:color w:val="auto"/>
        </w:rPr>
        <w:t>,</w:t>
      </w:r>
      <w:r>
        <w:rPr>
          <w:color w:val="auto"/>
        </w:rPr>
        <w:t xml:space="preserve"> ale aj viacero subjektov, ako aj aktíva, na základe ktorých možno dosahovať obrať. V zmysle definície pojmu podnikateľ ustanovenej v § 3 ods. 1 zákona za jedného podnikateľa možno považovať aj viacero </w:t>
      </w:r>
      <w:r w:rsidRPr="00A2045D">
        <w:rPr>
          <w:color w:val="auto"/>
        </w:rPr>
        <w:t xml:space="preserve">fyzických alebo právnických osôb, ktoré sú prepojené na základe vzťahov kontroly, </w:t>
      </w:r>
      <w:r>
        <w:rPr>
          <w:color w:val="auto"/>
        </w:rPr>
        <w:t xml:space="preserve">pričom pojem podnikateľ nie je naviazaný na existenciu právnej subjektivity. </w:t>
      </w:r>
    </w:p>
    <w:p w14:paraId="663FA78C" w14:textId="77777777" w:rsidR="007066E0" w:rsidRDefault="007066E0" w:rsidP="002D6F9D">
      <w:pPr>
        <w:pStyle w:val="Default"/>
        <w:spacing w:line="276" w:lineRule="auto"/>
        <w:ind w:left="426"/>
        <w:jc w:val="both"/>
        <w:rPr>
          <w:color w:val="auto"/>
        </w:rPr>
      </w:pPr>
    </w:p>
    <w:p w14:paraId="330B8924" w14:textId="77777777" w:rsidR="007066E0" w:rsidRDefault="007066E0" w:rsidP="00172829">
      <w:pPr>
        <w:pStyle w:val="Default"/>
        <w:spacing w:line="276" w:lineRule="auto"/>
        <w:ind w:left="360"/>
        <w:jc w:val="both"/>
        <w:rPr>
          <w:color w:val="auto"/>
        </w:rPr>
      </w:pPr>
      <w:r>
        <w:rPr>
          <w:color w:val="auto"/>
        </w:rPr>
        <w:t xml:space="preserve">Aby bol naplnený § 8 ods. 3 zákona, a teda zohľadnený obrat podnikateľa alebo tých častí, ktoré sú predmetom koncentrácie, ak sú subjekty a/alebo aktíva nad ktorými sa získava kontrola súčasťou jedného podnikateľa – entity v zmysle § 3 ods. 1 zákona, tieto spoločne predstavujú účastníka koncentrácie na strane nadobúdaného. Rovnako to platí, keď sa kontrola získava nad časťou podnikateľa, ktorou sú aktíva, na základe ktorých možno dosahovať obrat a taktiež, ak sa kontrola získava nad kombináciou takýchto aktív a subjektov. A teda na strane nadobúdaného sú spoločne jedným účastníkom koncentrácie všetky aktíva a/alebo subjekty, ktoré tvoria súčasť jedného podnikateľa - entity. Účastník koncentrácie na strane nadobúdaného v týchto prípadoch nie je nevyhnutne spojený s právnou subjektivitou. </w:t>
      </w:r>
    </w:p>
    <w:p w14:paraId="5C98F767" w14:textId="77777777" w:rsidR="007066E0" w:rsidRDefault="007066E0" w:rsidP="002D6F9D">
      <w:pPr>
        <w:pStyle w:val="Default"/>
        <w:spacing w:line="276" w:lineRule="auto"/>
        <w:ind w:left="426"/>
        <w:jc w:val="both"/>
      </w:pPr>
    </w:p>
    <w:p w14:paraId="735815A3" w14:textId="77777777" w:rsidR="007066E0" w:rsidRPr="00D07920" w:rsidRDefault="007066E0" w:rsidP="00172829">
      <w:pPr>
        <w:pStyle w:val="Default"/>
        <w:spacing w:line="276" w:lineRule="auto"/>
        <w:ind w:left="360"/>
        <w:jc w:val="both"/>
      </w:pPr>
      <w:r>
        <w:t xml:space="preserve">Pri výpočte celkového obratu účastníka koncentrácie v týchto prípadoch sa postupuje </w:t>
      </w:r>
      <w:r>
        <w:rPr>
          <w:color w:val="auto"/>
        </w:rPr>
        <w:t xml:space="preserve">podľa § 8 ods. 2 zákona, pričom dochádza k zarátaniu obratov všetkých častí podnikateľa (subjekty aj aktíva), ktoré predstavujú predmet koncentrácie na strane nadobúdaného. </w:t>
      </w:r>
    </w:p>
    <w:p w14:paraId="15430BA6" w14:textId="77777777" w:rsidR="007066E0" w:rsidRDefault="007066E0" w:rsidP="002D6F9D">
      <w:pPr>
        <w:pStyle w:val="Default"/>
        <w:spacing w:line="276" w:lineRule="auto"/>
        <w:ind w:left="426"/>
        <w:jc w:val="both"/>
        <w:rPr>
          <w:color w:val="auto"/>
        </w:rPr>
      </w:pPr>
    </w:p>
    <w:p w14:paraId="4822957A" w14:textId="77777777" w:rsidR="007066E0" w:rsidRDefault="007066E0" w:rsidP="00172829">
      <w:pPr>
        <w:pStyle w:val="Default"/>
        <w:numPr>
          <w:ilvl w:val="0"/>
          <w:numId w:val="28"/>
        </w:numPr>
        <w:spacing w:line="276" w:lineRule="auto"/>
        <w:jc w:val="both"/>
        <w:rPr>
          <w:color w:val="auto"/>
        </w:rPr>
      </w:pPr>
      <w:r w:rsidRPr="008D36EF">
        <w:rPr>
          <w:color w:val="auto"/>
        </w:rPr>
        <w:t xml:space="preserve">Predávajúci, ktorý po koncentrácii už nebude mať výlučnú alebo spoločnú kontrolu nad </w:t>
      </w:r>
      <w:r>
        <w:rPr>
          <w:color w:val="auto"/>
        </w:rPr>
        <w:t>podnikateľom alebo časťou podnikateľa</w:t>
      </w:r>
      <w:r w:rsidRPr="008D36EF">
        <w:rPr>
          <w:color w:val="auto"/>
        </w:rPr>
        <w:t>, ktorý je predmetom koncentrácie, nie je účastníkom koncentrácie</w:t>
      </w:r>
      <w:r>
        <w:rPr>
          <w:color w:val="auto"/>
        </w:rPr>
        <w:t xml:space="preserve">. </w:t>
      </w:r>
    </w:p>
    <w:p w14:paraId="71CD4FAB" w14:textId="77777777" w:rsidR="007066E0" w:rsidRDefault="007066E0" w:rsidP="002D6F9D">
      <w:pPr>
        <w:pStyle w:val="Default"/>
        <w:spacing w:line="276" w:lineRule="auto"/>
        <w:jc w:val="both"/>
        <w:rPr>
          <w:color w:val="auto"/>
        </w:rPr>
      </w:pPr>
    </w:p>
    <w:p w14:paraId="7086B2B8" w14:textId="77777777" w:rsidR="00172829" w:rsidRDefault="00172829">
      <w:pPr>
        <w:spacing w:line="259" w:lineRule="auto"/>
        <w:rPr>
          <w:rFonts w:ascii="Arimo" w:hAnsi="Arimo" w:cs="Arimo"/>
          <w:b/>
          <w:color w:val="1E4E9D"/>
          <w:sz w:val="28"/>
          <w:szCs w:val="24"/>
        </w:rPr>
      </w:pPr>
      <w:r>
        <w:rPr>
          <w:b/>
          <w:color w:val="1E4E9D"/>
          <w:sz w:val="28"/>
        </w:rPr>
        <w:br w:type="page"/>
      </w:r>
    </w:p>
    <w:p w14:paraId="6C7657F7" w14:textId="4D3B21A6" w:rsidR="007066E0" w:rsidRPr="00172829" w:rsidRDefault="007066E0" w:rsidP="002D6F9D">
      <w:pPr>
        <w:pStyle w:val="Default"/>
        <w:spacing w:line="276" w:lineRule="auto"/>
        <w:ind w:left="426" w:hanging="426"/>
        <w:jc w:val="both"/>
        <w:rPr>
          <w:b/>
          <w:color w:val="1E4E9D"/>
          <w:sz w:val="28"/>
        </w:rPr>
      </w:pPr>
      <w:r w:rsidRPr="00172829">
        <w:rPr>
          <w:b/>
          <w:color w:val="1E4E9D"/>
          <w:sz w:val="28"/>
        </w:rPr>
        <w:lastRenderedPageBreak/>
        <w:t>3</w:t>
      </w:r>
      <w:r w:rsidR="00172829">
        <w:rPr>
          <w:b/>
          <w:color w:val="1E4E9D"/>
          <w:sz w:val="28"/>
        </w:rPr>
        <w:t xml:space="preserve"> </w:t>
      </w:r>
      <w:r w:rsidRPr="00172829">
        <w:rPr>
          <w:b/>
          <w:color w:val="1E4E9D"/>
          <w:sz w:val="28"/>
        </w:rPr>
        <w:t xml:space="preserve"> PODROBNOSTI PRI URČOVANÍ ÚČASTNÍKOV KONCENTRÁCIE V PRÍPADE ZÍSKANIA KONTROLY </w:t>
      </w:r>
    </w:p>
    <w:p w14:paraId="1319A0E2" w14:textId="77777777" w:rsidR="007066E0" w:rsidRDefault="007066E0" w:rsidP="002D6F9D">
      <w:pPr>
        <w:pStyle w:val="Default"/>
        <w:spacing w:line="276" w:lineRule="auto"/>
        <w:ind w:left="426" w:hanging="426"/>
        <w:jc w:val="both"/>
        <w:rPr>
          <w:b/>
          <w:color w:val="auto"/>
        </w:rPr>
      </w:pPr>
    </w:p>
    <w:p w14:paraId="593DC535" w14:textId="17DCA576" w:rsidR="007066E0" w:rsidRPr="00172829" w:rsidRDefault="007066E0" w:rsidP="002D6F9D">
      <w:pPr>
        <w:pStyle w:val="Default"/>
        <w:spacing w:line="276" w:lineRule="auto"/>
        <w:ind w:left="426" w:hanging="426"/>
        <w:jc w:val="both"/>
        <w:rPr>
          <w:b/>
          <w:color w:val="1E4E9D"/>
          <w:sz w:val="28"/>
        </w:rPr>
      </w:pPr>
      <w:r w:rsidRPr="00172829">
        <w:rPr>
          <w:b/>
          <w:color w:val="1E4E9D"/>
          <w:sz w:val="28"/>
        </w:rPr>
        <w:t>3.1 Osobitné princípy určovania účastníkov koncentrácie na strane nadobúdateľa kontroly v prípadoch získania kontroly prostredníctvom iného podnikateľa (získanie nepriamej kontroly)</w:t>
      </w:r>
    </w:p>
    <w:p w14:paraId="31C36A8E" w14:textId="77777777" w:rsidR="007066E0" w:rsidRDefault="007066E0" w:rsidP="002D6F9D">
      <w:pPr>
        <w:pStyle w:val="Default"/>
        <w:spacing w:line="276" w:lineRule="auto"/>
        <w:ind w:left="426" w:hanging="426"/>
        <w:jc w:val="both"/>
        <w:rPr>
          <w:color w:val="auto"/>
        </w:rPr>
      </w:pPr>
    </w:p>
    <w:p w14:paraId="30DB9D6F"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K</w:t>
      </w:r>
      <w:r>
        <w:rPr>
          <w:color w:val="auto"/>
        </w:rPr>
        <w:t xml:space="preserve"> získaniu nepriamej (výlučnej alebo spoločnej) kontroly </w:t>
      </w:r>
      <w:r w:rsidRPr="008D36EF">
        <w:rPr>
          <w:color w:val="auto"/>
        </w:rPr>
        <w:t xml:space="preserve">dochádza v prípadoch, ak </w:t>
      </w:r>
      <w:r>
        <w:rPr>
          <w:color w:val="auto"/>
        </w:rPr>
        <w:t xml:space="preserve">ekonomická realita danej transakcie poukazuje na to, že iný podnikateľ (alebo iní podnikatelia) ako priamy nadobúdateľ napr. obchodného podielu alebo akcií je v pozadí danej transakcie, t. j. významne sa podieľal na jej iniciovaní, organizovaní, financovaní.  </w:t>
      </w:r>
    </w:p>
    <w:p w14:paraId="7433689D" w14:textId="77777777" w:rsidR="007066E0" w:rsidRPr="008D36EF" w:rsidRDefault="007066E0" w:rsidP="002D6F9D">
      <w:pPr>
        <w:pStyle w:val="Default"/>
        <w:spacing w:line="276" w:lineRule="auto"/>
        <w:ind w:left="426" w:hanging="426"/>
        <w:jc w:val="both"/>
        <w:rPr>
          <w:color w:val="auto"/>
        </w:rPr>
      </w:pPr>
    </w:p>
    <w:p w14:paraId="73413F33"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V prípadoch, ak nadobúdateľ napr</w:t>
      </w:r>
      <w:r>
        <w:rPr>
          <w:color w:val="auto"/>
        </w:rPr>
        <w:t>íklad</w:t>
      </w:r>
      <w:r w:rsidRPr="008D36EF">
        <w:rPr>
          <w:color w:val="auto"/>
        </w:rPr>
        <w:t xml:space="preserve"> akcií alebo obchodného podielu je iba prostriedkom na získanie nepriamej výlučnej kontroly </w:t>
      </w:r>
      <w:r>
        <w:rPr>
          <w:color w:val="auto"/>
        </w:rPr>
        <w:t xml:space="preserve">nad </w:t>
      </w:r>
      <w:r w:rsidRPr="008D36EF">
        <w:rPr>
          <w:color w:val="auto"/>
        </w:rPr>
        <w:t xml:space="preserve">iným podnikateľom, na strane nadobúdateľa kontroly bude účastníkom koncentrácie podnikateľ, ktorý stojí v pozadí transakcie. </w:t>
      </w:r>
      <w:r>
        <w:rPr>
          <w:color w:val="auto"/>
        </w:rPr>
        <w:t>Znamená to, že priamy n</w:t>
      </w:r>
      <w:r w:rsidRPr="008D36EF">
        <w:rPr>
          <w:color w:val="auto"/>
        </w:rPr>
        <w:t xml:space="preserve">adobúdateľ </w:t>
      </w:r>
      <w:r>
        <w:rPr>
          <w:color w:val="auto"/>
        </w:rPr>
        <w:t xml:space="preserve">napríklad </w:t>
      </w:r>
      <w:r w:rsidRPr="008D36EF">
        <w:rPr>
          <w:color w:val="auto"/>
        </w:rPr>
        <w:t xml:space="preserve">akcií alebo obchodného podielu nie je účastníkom koncentrácie. </w:t>
      </w:r>
    </w:p>
    <w:p w14:paraId="29228496" w14:textId="77777777" w:rsidR="007066E0" w:rsidRDefault="007066E0" w:rsidP="002D6F9D">
      <w:pPr>
        <w:pStyle w:val="Default"/>
        <w:spacing w:line="276" w:lineRule="auto"/>
        <w:ind w:left="426" w:hanging="426"/>
        <w:jc w:val="both"/>
        <w:rPr>
          <w:color w:val="auto"/>
        </w:rPr>
      </w:pPr>
    </w:p>
    <w:p w14:paraId="2C45281D" w14:textId="38BBAC45" w:rsidR="007066E0" w:rsidRPr="00456133" w:rsidRDefault="007066E0" w:rsidP="002D6F9D">
      <w:pPr>
        <w:pStyle w:val="Default"/>
        <w:numPr>
          <w:ilvl w:val="0"/>
          <w:numId w:val="28"/>
        </w:numPr>
        <w:spacing w:line="276" w:lineRule="auto"/>
        <w:ind w:left="426" w:hanging="426"/>
        <w:jc w:val="both"/>
        <w:rPr>
          <w:color w:val="auto"/>
        </w:rPr>
      </w:pPr>
      <w:r>
        <w:rPr>
          <w:color w:val="auto"/>
        </w:rPr>
        <w:t>Rovnako v</w:t>
      </w:r>
      <w:r w:rsidRPr="008D36EF">
        <w:rPr>
          <w:color w:val="auto"/>
        </w:rPr>
        <w:t xml:space="preserve"> prípadoch, kedy </w:t>
      </w:r>
      <w:r>
        <w:rPr>
          <w:color w:val="auto"/>
        </w:rPr>
        <w:t xml:space="preserve">je </w:t>
      </w:r>
      <w:r w:rsidRPr="008D36EF">
        <w:rPr>
          <w:color w:val="auto"/>
        </w:rPr>
        <w:t>priamym nadobúdateľom</w:t>
      </w:r>
      <w:r>
        <w:rPr>
          <w:color w:val="auto"/>
        </w:rPr>
        <w:t xml:space="preserve"> iného</w:t>
      </w:r>
      <w:r w:rsidRPr="008D36EF">
        <w:rPr>
          <w:color w:val="auto"/>
        </w:rPr>
        <w:t xml:space="preserve"> podnikateľa</w:t>
      </w:r>
      <w:r>
        <w:rPr>
          <w:color w:val="auto"/>
        </w:rPr>
        <w:t xml:space="preserve"> spoločne kontrolovaný podnikateľ</w:t>
      </w:r>
      <w:r w:rsidRPr="008D36EF">
        <w:rPr>
          <w:color w:val="auto"/>
        </w:rPr>
        <w:t>, je</w:t>
      </w:r>
      <w:r>
        <w:rPr>
          <w:color w:val="auto"/>
        </w:rPr>
        <w:t> </w:t>
      </w:r>
      <w:r w:rsidRPr="008D36EF">
        <w:rPr>
          <w:color w:val="auto"/>
        </w:rPr>
        <w:t xml:space="preserve">nevyhnutné určiť, či </w:t>
      </w:r>
      <w:r>
        <w:rPr>
          <w:color w:val="auto"/>
        </w:rPr>
        <w:t>koncentrácia spočíva v získaní priamej kontroly tohto priameho nadobúdateľa</w:t>
      </w:r>
      <w:r w:rsidRPr="008D36EF">
        <w:rPr>
          <w:color w:val="auto"/>
        </w:rPr>
        <w:t xml:space="preserve">, alebo </w:t>
      </w:r>
      <w:r w:rsidR="00172829">
        <w:rPr>
          <w:color w:val="auto"/>
        </w:rPr>
        <w:t>ide</w:t>
      </w:r>
      <w:r w:rsidRPr="008D36EF">
        <w:rPr>
          <w:color w:val="auto"/>
        </w:rPr>
        <w:t xml:space="preserve"> o získanie nepriamej spoločnej kontroly </w:t>
      </w:r>
      <w:r>
        <w:rPr>
          <w:color w:val="auto"/>
        </w:rPr>
        <w:t xml:space="preserve">materských spoločností prostredníctvom nimi spoločne kontrolovaného podnikateľa. </w:t>
      </w:r>
      <w:r w:rsidRPr="00456133">
        <w:rPr>
          <w:color w:val="auto"/>
        </w:rPr>
        <w:t xml:space="preserve">Ak </w:t>
      </w:r>
      <w:r w:rsidR="00172829">
        <w:rPr>
          <w:color w:val="auto"/>
        </w:rPr>
        <w:t>ide</w:t>
      </w:r>
      <w:r w:rsidRPr="00456133">
        <w:rPr>
          <w:color w:val="auto"/>
        </w:rPr>
        <w:t xml:space="preserve"> o získanie nepriamej spoločnej kontroly </w:t>
      </w:r>
      <w:r>
        <w:rPr>
          <w:color w:val="auto"/>
        </w:rPr>
        <w:t>materských spoločností</w:t>
      </w:r>
      <w:r w:rsidRPr="00456133">
        <w:rPr>
          <w:color w:val="auto"/>
        </w:rPr>
        <w:t xml:space="preserve"> priameho nadobúdateľa, účastníkmi koncentrácie sú títo podnikatelia stojaci v pozadí transakcie. </w:t>
      </w:r>
    </w:p>
    <w:p w14:paraId="7420AE28" w14:textId="77777777" w:rsidR="007066E0" w:rsidRPr="008D36EF" w:rsidRDefault="007066E0" w:rsidP="002D6F9D">
      <w:pPr>
        <w:pStyle w:val="Default"/>
        <w:spacing w:line="276" w:lineRule="auto"/>
        <w:jc w:val="both"/>
        <w:rPr>
          <w:color w:val="auto"/>
        </w:rPr>
      </w:pPr>
    </w:p>
    <w:p w14:paraId="24C63BA1" w14:textId="77777777" w:rsidR="007066E0" w:rsidRPr="008D36EF" w:rsidRDefault="007066E0" w:rsidP="002D6F9D">
      <w:pPr>
        <w:pStyle w:val="Default"/>
        <w:numPr>
          <w:ilvl w:val="0"/>
          <w:numId w:val="28"/>
        </w:numPr>
        <w:spacing w:line="276" w:lineRule="auto"/>
        <w:ind w:left="426" w:hanging="426"/>
        <w:jc w:val="both"/>
        <w:rPr>
          <w:color w:val="auto"/>
        </w:rPr>
      </w:pPr>
      <w:r>
        <w:rPr>
          <w:color w:val="auto"/>
        </w:rPr>
        <w:t>V prípadoch získavania kontroly spoločným podnikom v</w:t>
      </w:r>
      <w:r w:rsidRPr="008D36EF">
        <w:rPr>
          <w:color w:val="auto"/>
        </w:rPr>
        <w:t xml:space="preserve">o všeobecnosti platí, že ak kontrolu nad </w:t>
      </w:r>
      <w:r>
        <w:rPr>
          <w:color w:val="auto"/>
        </w:rPr>
        <w:t>iným</w:t>
      </w:r>
      <w:r w:rsidRPr="008D36EF">
        <w:rPr>
          <w:color w:val="auto"/>
        </w:rPr>
        <w:t xml:space="preserve"> podnikateľ</w:t>
      </w:r>
      <w:r>
        <w:rPr>
          <w:color w:val="auto"/>
        </w:rPr>
        <w:t>om</w:t>
      </w:r>
      <w:r w:rsidRPr="008D36EF">
        <w:rPr>
          <w:color w:val="auto"/>
        </w:rPr>
        <w:t xml:space="preserve"> získava plnofunkčný spoločný podnik už pôsobiaci na </w:t>
      </w:r>
      <w:r w:rsidRPr="00C949AA">
        <w:rPr>
          <w:color w:val="auto"/>
        </w:rPr>
        <w:t>rovnakom</w:t>
      </w:r>
      <w:r>
        <w:rPr>
          <w:color w:val="auto"/>
        </w:rPr>
        <w:t xml:space="preserve"> </w:t>
      </w:r>
      <w:r w:rsidRPr="0006265A">
        <w:rPr>
          <w:color w:val="auto"/>
        </w:rPr>
        <w:t>relevantnom</w:t>
      </w:r>
      <w:r w:rsidRPr="008D36EF">
        <w:rPr>
          <w:color w:val="auto"/>
        </w:rPr>
        <w:t xml:space="preserve"> trhu, zvyčajne bude účastníkom koncentrácie na strane nadobúdateľa </w:t>
      </w:r>
      <w:r>
        <w:rPr>
          <w:color w:val="auto"/>
        </w:rPr>
        <w:t xml:space="preserve">tento </w:t>
      </w:r>
      <w:r w:rsidRPr="008D36EF">
        <w:rPr>
          <w:color w:val="auto"/>
        </w:rPr>
        <w:t>spoločný podnik</w:t>
      </w:r>
      <w:r>
        <w:rPr>
          <w:color w:val="auto"/>
        </w:rPr>
        <w:t xml:space="preserve"> (a nie jeho materské spoločnosti)</w:t>
      </w:r>
      <w:r w:rsidRPr="008D36EF">
        <w:rPr>
          <w:color w:val="auto"/>
        </w:rPr>
        <w:t xml:space="preserve"> a</w:t>
      </w:r>
      <w:r>
        <w:rPr>
          <w:color w:val="auto"/>
        </w:rPr>
        <w:t> </w:t>
      </w:r>
      <w:r w:rsidRPr="008D36EF">
        <w:rPr>
          <w:color w:val="auto"/>
        </w:rPr>
        <w:t xml:space="preserve">na strane nadobúdaného subjektu bude účastníkom koncentrácie podnikateľ, nad ktorým sa kontrola získava. </w:t>
      </w:r>
    </w:p>
    <w:p w14:paraId="63EA5625" w14:textId="77777777" w:rsidR="007066E0" w:rsidRPr="008D36EF" w:rsidRDefault="007066E0" w:rsidP="002D6F9D">
      <w:pPr>
        <w:pStyle w:val="Default"/>
        <w:spacing w:line="276" w:lineRule="auto"/>
        <w:ind w:left="426" w:hanging="426"/>
        <w:jc w:val="both"/>
        <w:rPr>
          <w:color w:val="auto"/>
        </w:rPr>
      </w:pPr>
    </w:p>
    <w:p w14:paraId="2FF7AE4C"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 xml:space="preserve">Ak </w:t>
      </w:r>
      <w:r>
        <w:rPr>
          <w:color w:val="auto"/>
        </w:rPr>
        <w:t xml:space="preserve">existujúci alebo novo-vytváraný </w:t>
      </w:r>
      <w:r w:rsidRPr="008D36EF">
        <w:rPr>
          <w:color w:val="auto"/>
        </w:rPr>
        <w:t xml:space="preserve">spoločný podnik je iba prostriedkom </w:t>
      </w:r>
      <w:r>
        <w:rPr>
          <w:color w:val="auto"/>
        </w:rPr>
        <w:t>(</w:t>
      </w:r>
      <w:r w:rsidRPr="008D36EF">
        <w:rPr>
          <w:color w:val="auto"/>
        </w:rPr>
        <w:t xml:space="preserve">podnikateľov, ktorí </w:t>
      </w:r>
      <w:r>
        <w:rPr>
          <w:color w:val="auto"/>
        </w:rPr>
        <w:t xml:space="preserve">ho </w:t>
      </w:r>
      <w:r w:rsidRPr="008D36EF">
        <w:rPr>
          <w:color w:val="auto"/>
        </w:rPr>
        <w:t>kontrolujú</w:t>
      </w:r>
      <w:r>
        <w:rPr>
          <w:color w:val="auto"/>
        </w:rPr>
        <w:t xml:space="preserve"> alebo budú kontrolovať)</w:t>
      </w:r>
      <w:r w:rsidRPr="008D36EF">
        <w:rPr>
          <w:color w:val="auto"/>
        </w:rPr>
        <w:t xml:space="preserve"> na získanie kontroly nad </w:t>
      </w:r>
      <w:r>
        <w:rPr>
          <w:color w:val="auto"/>
        </w:rPr>
        <w:t>iným podnikateľom</w:t>
      </w:r>
      <w:r w:rsidRPr="008D36EF">
        <w:rPr>
          <w:color w:val="auto"/>
        </w:rPr>
        <w:t xml:space="preserve">, účastníkmi koncentrácie na strane nadobúdateľov </w:t>
      </w:r>
      <w:r>
        <w:rPr>
          <w:color w:val="auto"/>
        </w:rPr>
        <w:t xml:space="preserve">nepriamej </w:t>
      </w:r>
      <w:r w:rsidRPr="008D36EF">
        <w:rPr>
          <w:color w:val="auto"/>
        </w:rPr>
        <w:t xml:space="preserve">spoločnej kontroly budú podnikatelia kontrolujúci spoločný podnik. </w:t>
      </w:r>
    </w:p>
    <w:p w14:paraId="4BE65FD1" w14:textId="64DAD509" w:rsidR="007066E0" w:rsidRPr="008D36EF" w:rsidRDefault="00172829" w:rsidP="002D6F9D">
      <w:pPr>
        <w:pStyle w:val="Default"/>
        <w:spacing w:line="276" w:lineRule="auto"/>
        <w:ind w:left="426"/>
        <w:jc w:val="both"/>
        <w:rPr>
          <w:color w:val="auto"/>
        </w:rPr>
      </w:pPr>
      <w:r>
        <w:rPr>
          <w:color w:val="auto"/>
        </w:rPr>
        <w:br/>
      </w:r>
      <w:r w:rsidR="007066E0" w:rsidRPr="008D36EF">
        <w:rPr>
          <w:color w:val="auto"/>
        </w:rPr>
        <w:t xml:space="preserve">K uvedenému dochádza napríklad v prípadoch, ak spoločný podnik bol založený najmä </w:t>
      </w:r>
      <w:r>
        <w:rPr>
          <w:color w:val="auto"/>
        </w:rPr>
        <w:t>n</w:t>
      </w:r>
      <w:r w:rsidR="007066E0" w:rsidRPr="008D36EF">
        <w:rPr>
          <w:color w:val="auto"/>
        </w:rPr>
        <w:t xml:space="preserve">a účel získania spoločnej kontroly jeho zakladateľov nad </w:t>
      </w:r>
      <w:r w:rsidR="007066E0">
        <w:rPr>
          <w:color w:val="auto"/>
        </w:rPr>
        <w:t>iným podnikateľom</w:t>
      </w:r>
      <w:r w:rsidR="007066E0" w:rsidRPr="008D36EF">
        <w:rPr>
          <w:color w:val="auto"/>
        </w:rPr>
        <w:t xml:space="preserve">, ak spoločný podnik ešte nezačal pôsobiť na trhu, ďalej ak spoločný podnik nemá právnu subjektivitu alebo nie je plnofunkčným spoločným podnikom. </w:t>
      </w:r>
    </w:p>
    <w:p w14:paraId="5FF6B655" w14:textId="77777777" w:rsidR="007066E0" w:rsidRDefault="007066E0" w:rsidP="002D6F9D">
      <w:pPr>
        <w:pStyle w:val="Default"/>
        <w:spacing w:line="276" w:lineRule="auto"/>
        <w:ind w:left="426"/>
        <w:jc w:val="both"/>
        <w:rPr>
          <w:color w:val="auto"/>
        </w:rPr>
      </w:pPr>
      <w:r w:rsidRPr="008D36EF">
        <w:rPr>
          <w:color w:val="auto"/>
        </w:rPr>
        <w:lastRenderedPageBreak/>
        <w:t xml:space="preserve">Zároveň k uvedenému môže dôjsť, ak podnikatelia kontrolujúci spoločný podnik sú reálni hráči stojaci za transakciou, </w:t>
      </w:r>
      <w:r>
        <w:rPr>
          <w:color w:val="auto"/>
        </w:rPr>
        <w:t xml:space="preserve">pri vyhodnotení čoho </w:t>
      </w:r>
      <w:r w:rsidRPr="008D36EF">
        <w:rPr>
          <w:color w:val="auto"/>
        </w:rPr>
        <w:t>je potrebné zohľadniť najmä ekonomické pozadie príslušnej transakcie, t.</w:t>
      </w:r>
      <w:r>
        <w:rPr>
          <w:color w:val="auto"/>
        </w:rPr>
        <w:t> </w:t>
      </w:r>
      <w:r w:rsidRPr="008D36EF">
        <w:rPr>
          <w:color w:val="auto"/>
        </w:rPr>
        <w:t xml:space="preserve">j. v akej miere sú podnikatelia kontrolujúci spoločný podnik zainteresovaní na získaní kontroly nad </w:t>
      </w:r>
      <w:r>
        <w:rPr>
          <w:color w:val="auto"/>
        </w:rPr>
        <w:t>iným podnikateľom</w:t>
      </w:r>
      <w:r w:rsidRPr="008D36EF">
        <w:rPr>
          <w:color w:val="auto"/>
        </w:rPr>
        <w:t xml:space="preserve">, ako je organizovaná a financovaná príslušná transakcia. </w:t>
      </w:r>
    </w:p>
    <w:p w14:paraId="16BDB9D1" w14:textId="77777777" w:rsidR="007066E0" w:rsidRDefault="007066E0" w:rsidP="002D6F9D">
      <w:pPr>
        <w:pStyle w:val="Default"/>
        <w:spacing w:line="276" w:lineRule="auto"/>
        <w:jc w:val="both"/>
        <w:rPr>
          <w:b/>
          <w:bCs/>
          <w:color w:val="auto"/>
        </w:rPr>
      </w:pPr>
    </w:p>
    <w:p w14:paraId="078E3FBA" w14:textId="0E0AADF1" w:rsidR="007066E0" w:rsidRPr="00172829" w:rsidRDefault="007066E0" w:rsidP="002D6F9D">
      <w:pPr>
        <w:pStyle w:val="Default"/>
        <w:spacing w:line="276" w:lineRule="auto"/>
        <w:jc w:val="both"/>
        <w:rPr>
          <w:color w:val="1E4E9D"/>
          <w:sz w:val="28"/>
        </w:rPr>
      </w:pPr>
      <w:r w:rsidRPr="00172829">
        <w:rPr>
          <w:b/>
          <w:bCs/>
          <w:color w:val="1E4E9D"/>
          <w:sz w:val="28"/>
        </w:rPr>
        <w:t xml:space="preserve">3.2 Identifikácia účastníkov koncentrácie v rámci vybraných foriem získania kontroly </w:t>
      </w:r>
    </w:p>
    <w:p w14:paraId="772F69E8" w14:textId="77777777" w:rsidR="007066E0" w:rsidRDefault="007066E0" w:rsidP="002D6F9D">
      <w:pPr>
        <w:pStyle w:val="Default"/>
        <w:spacing w:line="276" w:lineRule="auto"/>
        <w:jc w:val="both"/>
        <w:rPr>
          <w:b/>
          <w:bCs/>
          <w:color w:val="auto"/>
        </w:rPr>
      </w:pPr>
    </w:p>
    <w:p w14:paraId="70FED0FB" w14:textId="6CC67EB3" w:rsidR="007066E0" w:rsidRDefault="007066E0" w:rsidP="002D6F9D">
      <w:pPr>
        <w:pStyle w:val="Default"/>
        <w:spacing w:line="276" w:lineRule="auto"/>
        <w:jc w:val="both"/>
        <w:rPr>
          <w:b/>
          <w:bCs/>
          <w:color w:val="auto"/>
        </w:rPr>
      </w:pPr>
      <w:r w:rsidRPr="00172829">
        <w:rPr>
          <w:b/>
          <w:bCs/>
          <w:color w:val="1E4E9D"/>
        </w:rPr>
        <w:t>3.2.1 Získanie spoločnej kontroly vrátane vytvorenia plnofunkčného spoločného podniku</w:t>
      </w:r>
      <w:r>
        <w:rPr>
          <w:b/>
          <w:bCs/>
          <w:color w:val="auto"/>
        </w:rPr>
        <w:t xml:space="preserve"> </w:t>
      </w:r>
    </w:p>
    <w:p w14:paraId="7AA41601" w14:textId="77777777" w:rsidR="007066E0" w:rsidRDefault="007066E0" w:rsidP="002D6F9D">
      <w:pPr>
        <w:pStyle w:val="Default"/>
        <w:spacing w:line="276" w:lineRule="auto"/>
        <w:jc w:val="both"/>
        <w:rPr>
          <w:color w:val="auto"/>
        </w:rPr>
      </w:pPr>
    </w:p>
    <w:p w14:paraId="03ED2911" w14:textId="0967984E" w:rsidR="007066E0" w:rsidRPr="00AF15E9" w:rsidRDefault="007066E0" w:rsidP="002D6F9D">
      <w:pPr>
        <w:pStyle w:val="Default"/>
        <w:numPr>
          <w:ilvl w:val="0"/>
          <w:numId w:val="28"/>
        </w:numPr>
        <w:spacing w:line="276" w:lineRule="auto"/>
        <w:ind w:left="426" w:hanging="426"/>
        <w:jc w:val="both"/>
        <w:rPr>
          <w:color w:val="auto"/>
        </w:rPr>
      </w:pPr>
      <w:r w:rsidRPr="00B47DFF">
        <w:rPr>
          <w:color w:val="auto"/>
        </w:rPr>
        <w:t xml:space="preserve">Koncentráciou podľa § 7 ods. 1 písm. b) zákona </w:t>
      </w:r>
      <w:r>
        <w:rPr>
          <w:color w:val="auto"/>
        </w:rPr>
        <w:t xml:space="preserve">je </w:t>
      </w:r>
      <w:r w:rsidRPr="00B47DFF">
        <w:rPr>
          <w:color w:val="auto"/>
        </w:rPr>
        <w:t>aj získanie spoločnej kontroly nad</w:t>
      </w:r>
      <w:r>
        <w:rPr>
          <w:color w:val="auto"/>
        </w:rPr>
        <w:t xml:space="preserve"> podnikateľom/viacerými podnikateľmi </w:t>
      </w:r>
      <w:r w:rsidRPr="00904D8F">
        <w:t>alebo časťou podnikateľa</w:t>
      </w:r>
      <w:r>
        <w:rPr>
          <w:color w:val="auto"/>
        </w:rPr>
        <w:t xml:space="preserve">. K získaniu spoločnej kontroly dochádza aj v prípade vytvorenia plnofunkčného </w:t>
      </w:r>
      <w:r w:rsidRPr="00B47DFF">
        <w:rPr>
          <w:color w:val="auto"/>
        </w:rPr>
        <w:t>spoločného podniku</w:t>
      </w:r>
      <w:r>
        <w:rPr>
          <w:color w:val="auto"/>
        </w:rPr>
        <w:t xml:space="preserve"> podľa § 7 ods. 5 zákona</w:t>
      </w:r>
      <w:r w:rsidRPr="00B47DFF">
        <w:rPr>
          <w:color w:val="auto"/>
        </w:rPr>
        <w:t xml:space="preserve">, </w:t>
      </w:r>
      <w:r>
        <w:rPr>
          <w:color w:val="auto"/>
        </w:rPr>
        <w:t xml:space="preserve">ktoré je tiež koncentráciou podľa § 7 ods. 1 písm. b) zákona. </w:t>
      </w:r>
      <w:r w:rsidRPr="00AF15E9">
        <w:rPr>
          <w:color w:val="auto"/>
        </w:rPr>
        <w:t>K vytvoreniu plnofunkčného spoločného podniku môže dochádzať viacerými spôsobmi, napríklad získaním spoločnej kontroly nad existujúcim podnikateľom, ktorý pred transakciou bol výlučne kontrolovaný jedným z podnikateľov vytvárajúcich spoločný podnik</w:t>
      </w:r>
      <w:r w:rsidR="00B117F2">
        <w:rPr>
          <w:color w:val="auto"/>
        </w:rPr>
        <w:t>;</w:t>
      </w:r>
      <w:r w:rsidRPr="00AF15E9">
        <w:rPr>
          <w:color w:val="auto"/>
        </w:rPr>
        <w:t xml:space="preserve"> získaním spoločnej kontroly nad podnikateľom, ktorého podnikatelia získavajúci spoločnú kontrolu spolu založia (napríklad ako založenie podniku na zelenej lúke alebo kombináciou aktív, ktoré vložia do nového podniku zo svojej podnikateľskej činnosti). </w:t>
      </w:r>
    </w:p>
    <w:p w14:paraId="3C4D18AA" w14:textId="77777777" w:rsidR="007066E0" w:rsidRDefault="007066E0" w:rsidP="002D6F9D">
      <w:pPr>
        <w:pStyle w:val="Default"/>
        <w:spacing w:line="276" w:lineRule="auto"/>
        <w:ind w:left="426" w:hanging="426"/>
        <w:jc w:val="both"/>
        <w:rPr>
          <w:color w:val="auto"/>
        </w:rPr>
      </w:pPr>
    </w:p>
    <w:p w14:paraId="74B80107" w14:textId="384E7FFA" w:rsidR="007066E0" w:rsidRDefault="007066E0" w:rsidP="002D6F9D">
      <w:pPr>
        <w:pStyle w:val="Default"/>
        <w:numPr>
          <w:ilvl w:val="0"/>
          <w:numId w:val="28"/>
        </w:numPr>
        <w:spacing w:after="120" w:line="276" w:lineRule="auto"/>
        <w:ind w:left="426" w:hanging="426"/>
        <w:jc w:val="both"/>
        <w:rPr>
          <w:color w:val="auto"/>
        </w:rPr>
      </w:pPr>
      <w:r>
        <w:rPr>
          <w:color w:val="auto"/>
        </w:rPr>
        <w:t xml:space="preserve"> V situáciách, v ktorých dochádza k získaniu spoločnej kontroly (podľa § 7 ods. 1 písm. b) zákona</w:t>
      </w:r>
      <w:r w:rsidR="00B117F2">
        <w:rPr>
          <w:color w:val="auto"/>
        </w:rPr>
        <w:t>,</w:t>
      </w:r>
      <w:r>
        <w:rPr>
          <w:color w:val="auto"/>
        </w:rPr>
        <w:t xml:space="preserve"> a teda vrátane podľa § 7 ods. 5 zákona) je určenie účastníkov koncentrácie determinované tým, či sa nadobúda kontrola nad existujúcim podnikateľom alebo jeho časťou</w:t>
      </w:r>
      <w:r w:rsidR="00B117F2">
        <w:rPr>
          <w:color w:val="auto"/>
        </w:rPr>
        <w:t>,</w:t>
      </w:r>
      <w:r>
        <w:rPr>
          <w:color w:val="auto"/>
        </w:rPr>
        <w:t xml:space="preserve"> alebo nad novozaloženým podnikateľom</w:t>
      </w:r>
      <w:r w:rsidR="00B117F2">
        <w:rPr>
          <w:color w:val="auto"/>
        </w:rPr>
        <w:t>;</w:t>
      </w:r>
    </w:p>
    <w:p w14:paraId="5879E905" w14:textId="6F04710D" w:rsidR="00B117F2" w:rsidRDefault="00B117F2" w:rsidP="00B117F2">
      <w:pPr>
        <w:pStyle w:val="Odsekzoznamu"/>
        <w:numPr>
          <w:ilvl w:val="0"/>
          <w:numId w:val="35"/>
        </w:numPr>
        <w:spacing w:before="240" w:after="0" w:line="276" w:lineRule="auto"/>
        <w:ind w:left="708"/>
        <w:jc w:val="both"/>
        <w:rPr>
          <w:rFonts w:ascii="Arial" w:hAnsi="Arial" w:cs="Arial"/>
          <w:sz w:val="24"/>
          <w:szCs w:val="24"/>
        </w:rPr>
      </w:pPr>
      <w:r w:rsidRPr="00B117F2">
        <w:rPr>
          <w:rFonts w:ascii="Arial" w:hAnsi="Arial" w:cs="Arial"/>
          <w:sz w:val="24"/>
          <w:szCs w:val="24"/>
        </w:rPr>
        <w:t>Ak dochádza k získaniu spoločnej kontroly nad existujúcim podnikateľom alebo jeho časťou, na strane nadobúdateľov kontroly sú účastníkmi koncentrácie podnikatelia, ktorí získavajú spoločnú kontrolu a na druhej strane je účastníkom koncentrácie podnikateľ, nad ktorým sa spoločná kontrola získava alebo časť podnikateľa, nad ktorou sa kontrola získava. Pri určení účastníka koncentrácie na strane nadobúdaného platia pravidlá uvedené v bode 9 tohto usmernenia.</w:t>
      </w:r>
    </w:p>
    <w:p w14:paraId="1871FD61" w14:textId="77777777" w:rsidR="00B117F2" w:rsidRPr="00B117F2" w:rsidRDefault="00B117F2" w:rsidP="00B117F2">
      <w:pPr>
        <w:spacing w:after="0" w:line="276" w:lineRule="auto"/>
        <w:jc w:val="both"/>
        <w:rPr>
          <w:rFonts w:ascii="Arial" w:hAnsi="Arial" w:cs="Arial"/>
          <w:sz w:val="24"/>
          <w:szCs w:val="24"/>
        </w:rPr>
      </w:pPr>
    </w:p>
    <w:p w14:paraId="50EAB0DE" w14:textId="63C00482" w:rsidR="007066E0" w:rsidRPr="00B117F2" w:rsidRDefault="007066E0" w:rsidP="00B117F2">
      <w:pPr>
        <w:pStyle w:val="Odsekzoznamu"/>
        <w:numPr>
          <w:ilvl w:val="0"/>
          <w:numId w:val="35"/>
        </w:numPr>
        <w:spacing w:after="120" w:line="276" w:lineRule="auto"/>
        <w:ind w:left="708"/>
        <w:jc w:val="both"/>
        <w:rPr>
          <w:rFonts w:ascii="Arial" w:hAnsi="Arial" w:cs="Arial"/>
          <w:sz w:val="24"/>
          <w:szCs w:val="24"/>
        </w:rPr>
      </w:pPr>
      <w:r w:rsidRPr="00B117F2">
        <w:rPr>
          <w:rFonts w:ascii="Arial" w:hAnsi="Arial" w:cs="Arial"/>
          <w:sz w:val="24"/>
          <w:szCs w:val="24"/>
        </w:rPr>
        <w:t xml:space="preserve">Ak dochádza k získaniu spoločnej kontroly nad novo založeným podnikateľským subjektom (plnofunkčným spoločným podnikom), ktorý pred koncentráciou neexistoval, účastníkmi koncentrácie sú len podnikatelia získavajúci spoločnú kontrolu. </w:t>
      </w:r>
    </w:p>
    <w:p w14:paraId="56902078" w14:textId="77777777" w:rsidR="007066E0" w:rsidRPr="008D36EF" w:rsidRDefault="007066E0" w:rsidP="002D6F9D">
      <w:pPr>
        <w:pStyle w:val="Default"/>
        <w:spacing w:line="276" w:lineRule="auto"/>
        <w:jc w:val="both"/>
        <w:rPr>
          <w:color w:val="auto"/>
        </w:rPr>
      </w:pPr>
    </w:p>
    <w:p w14:paraId="63E679E1" w14:textId="77777777" w:rsidR="00B117F2" w:rsidRDefault="00B117F2">
      <w:pPr>
        <w:spacing w:line="259" w:lineRule="auto"/>
        <w:rPr>
          <w:rFonts w:ascii="Arimo" w:hAnsi="Arimo" w:cs="Arimo"/>
          <w:b/>
          <w:bCs/>
          <w:sz w:val="24"/>
          <w:szCs w:val="24"/>
        </w:rPr>
      </w:pPr>
      <w:r>
        <w:rPr>
          <w:b/>
          <w:bCs/>
        </w:rPr>
        <w:br w:type="page"/>
      </w:r>
    </w:p>
    <w:p w14:paraId="723A840B" w14:textId="41ACFBEF" w:rsidR="007066E0" w:rsidRPr="00B117F2" w:rsidRDefault="007066E0" w:rsidP="002D6F9D">
      <w:pPr>
        <w:pStyle w:val="Default"/>
        <w:spacing w:line="276" w:lineRule="auto"/>
        <w:jc w:val="both"/>
        <w:rPr>
          <w:b/>
          <w:bCs/>
          <w:color w:val="1E4E9D"/>
        </w:rPr>
      </w:pPr>
      <w:r w:rsidRPr="00B117F2">
        <w:rPr>
          <w:b/>
          <w:bCs/>
          <w:color w:val="1E4E9D"/>
        </w:rPr>
        <w:lastRenderedPageBreak/>
        <w:t xml:space="preserve">3.2.2 Zmena spoločnej kontroly na výlučnú kontrolu </w:t>
      </w:r>
    </w:p>
    <w:p w14:paraId="49E87BC7" w14:textId="77777777" w:rsidR="007066E0" w:rsidRDefault="007066E0" w:rsidP="002D6F9D">
      <w:pPr>
        <w:pStyle w:val="Default"/>
        <w:spacing w:line="276" w:lineRule="auto"/>
        <w:jc w:val="both"/>
        <w:rPr>
          <w:color w:val="auto"/>
        </w:rPr>
      </w:pPr>
    </w:p>
    <w:p w14:paraId="76E15CC7"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Zmena spoločnej kontroly na výlučnú kontrolu predstavuje zmenu kvality kontroly, keďže možnosť samostatne vykonávať rozhodujúci vplyv na činnosť podnikateľa je odlišná od situácie, kedy dvaja alebo viacerí podnikatelia získajú možnosť</w:t>
      </w:r>
      <w:r>
        <w:rPr>
          <w:color w:val="auto"/>
        </w:rPr>
        <w:t xml:space="preserve"> spoločne</w:t>
      </w:r>
      <w:r w:rsidRPr="008D36EF">
        <w:rPr>
          <w:color w:val="auto"/>
        </w:rPr>
        <w:t xml:space="preserve"> vykonávať rozhodujúci vplyv na činnosť podnikateľa. </w:t>
      </w:r>
    </w:p>
    <w:p w14:paraId="3EB1362E" w14:textId="77777777" w:rsidR="007066E0" w:rsidRPr="008D36EF" w:rsidRDefault="007066E0" w:rsidP="002D6F9D">
      <w:pPr>
        <w:pStyle w:val="Default"/>
        <w:spacing w:line="276" w:lineRule="auto"/>
        <w:ind w:left="426" w:hanging="426"/>
        <w:jc w:val="both"/>
        <w:rPr>
          <w:color w:val="auto"/>
        </w:rPr>
      </w:pPr>
    </w:p>
    <w:p w14:paraId="2F784E2A"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 xml:space="preserve">Zmenou spoločnej kontroly na výlučnú kontrolu dochádza </w:t>
      </w:r>
      <w:r>
        <w:rPr>
          <w:color w:val="auto"/>
        </w:rPr>
        <w:t xml:space="preserve">teda </w:t>
      </w:r>
      <w:r w:rsidRPr="008D36EF">
        <w:rPr>
          <w:color w:val="auto"/>
        </w:rPr>
        <w:t xml:space="preserve">k získaniu kontroly nad </w:t>
      </w:r>
      <w:r>
        <w:rPr>
          <w:color w:val="auto"/>
        </w:rPr>
        <w:t xml:space="preserve">iným </w:t>
      </w:r>
      <w:r w:rsidRPr="008D36EF">
        <w:rPr>
          <w:color w:val="auto"/>
        </w:rPr>
        <w:t>podnikateľ</w:t>
      </w:r>
      <w:r>
        <w:rPr>
          <w:color w:val="auto"/>
        </w:rPr>
        <w:t>om</w:t>
      </w:r>
      <w:r w:rsidRPr="008D36EF">
        <w:rPr>
          <w:color w:val="auto"/>
        </w:rPr>
        <w:t xml:space="preserve">, a teda ku koncentrácii podľa § </w:t>
      </w:r>
      <w:r>
        <w:rPr>
          <w:color w:val="auto"/>
        </w:rPr>
        <w:t>7</w:t>
      </w:r>
      <w:r w:rsidRPr="008D36EF">
        <w:rPr>
          <w:color w:val="auto"/>
        </w:rPr>
        <w:t xml:space="preserve"> ods. 1 písm. b) zákona. </w:t>
      </w:r>
    </w:p>
    <w:p w14:paraId="355B77BA" w14:textId="77777777" w:rsidR="007066E0" w:rsidRPr="008D36EF" w:rsidRDefault="007066E0" w:rsidP="002D6F9D">
      <w:pPr>
        <w:pStyle w:val="Default"/>
        <w:spacing w:line="276" w:lineRule="auto"/>
        <w:ind w:left="426" w:hanging="426"/>
        <w:jc w:val="both"/>
        <w:rPr>
          <w:color w:val="auto"/>
        </w:rPr>
      </w:pPr>
    </w:p>
    <w:p w14:paraId="110CE594"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 xml:space="preserve">Účastníkmi koncentrácie v takýchto prípadoch sú na strane nadobúdateľa podnikateľ, ktorý koncentráciou nadobúda výlučnú kontrolu a na strane nadobúdaného subjektu podnikateľ, nad ktorým sa výlučná kontrola získava. </w:t>
      </w:r>
    </w:p>
    <w:p w14:paraId="36D00B6C" w14:textId="77777777" w:rsidR="007066E0" w:rsidRDefault="007066E0" w:rsidP="002D6F9D">
      <w:pPr>
        <w:pStyle w:val="Default"/>
        <w:spacing w:line="276" w:lineRule="auto"/>
        <w:jc w:val="both"/>
        <w:rPr>
          <w:b/>
          <w:bCs/>
          <w:color w:val="auto"/>
        </w:rPr>
      </w:pPr>
    </w:p>
    <w:p w14:paraId="665311F6" w14:textId="77777777" w:rsidR="007066E0" w:rsidRPr="00B117F2" w:rsidRDefault="007066E0" w:rsidP="002D6F9D">
      <w:pPr>
        <w:pStyle w:val="Default"/>
        <w:spacing w:line="276" w:lineRule="auto"/>
        <w:jc w:val="both"/>
        <w:rPr>
          <w:b/>
          <w:bCs/>
          <w:color w:val="1E4E9D"/>
        </w:rPr>
      </w:pPr>
      <w:r w:rsidRPr="00B117F2">
        <w:rPr>
          <w:b/>
          <w:bCs/>
          <w:color w:val="1E4E9D"/>
        </w:rPr>
        <w:t xml:space="preserve">3.2.3. Získanie kontroly fyzickou osobou </w:t>
      </w:r>
    </w:p>
    <w:p w14:paraId="1BE50181" w14:textId="77777777" w:rsidR="007066E0" w:rsidRPr="008D36EF" w:rsidRDefault="007066E0" w:rsidP="002D6F9D">
      <w:pPr>
        <w:pStyle w:val="Default"/>
        <w:spacing w:line="276" w:lineRule="auto"/>
        <w:jc w:val="both"/>
        <w:rPr>
          <w:color w:val="auto"/>
        </w:rPr>
      </w:pPr>
    </w:p>
    <w:p w14:paraId="3B77845C" w14:textId="04D11544" w:rsidR="007066E0" w:rsidRPr="00C34D82" w:rsidRDefault="007066E0" w:rsidP="002D6F9D">
      <w:pPr>
        <w:pStyle w:val="Default"/>
        <w:numPr>
          <w:ilvl w:val="0"/>
          <w:numId w:val="28"/>
        </w:numPr>
        <w:spacing w:line="276" w:lineRule="auto"/>
        <w:ind w:left="426" w:hanging="426"/>
        <w:jc w:val="both"/>
        <w:rPr>
          <w:color w:val="auto"/>
        </w:rPr>
      </w:pPr>
      <w:r w:rsidRPr="00482B36">
        <w:rPr>
          <w:color w:val="auto"/>
        </w:rPr>
        <w:t xml:space="preserve">Podľa § 3 ods. 1 zákona podnikateľom na účely zákona sa </w:t>
      </w:r>
      <w:r w:rsidRPr="00482B36">
        <w:t>rozumie</w:t>
      </w:r>
      <w:r w:rsidRPr="00482B36" w:rsidDel="00B832F3">
        <w:t xml:space="preserve"> </w:t>
      </w:r>
      <w:r w:rsidRPr="00482B36">
        <w:t>entita, ktorá vykonáva hospodársku činnosť alebo ak ide o jej činnosť a konanie, ktoré súvisí alebo môže súvisieť s</w:t>
      </w:r>
      <w:r>
        <w:t xml:space="preserve"> hospodárskou</w:t>
      </w:r>
      <w:r w:rsidRPr="00482B36">
        <w:t xml:space="preserve"> súťažou, bez ohľadu na jej právnu formu, existenciu právnej subjektivity, spôsob jej financovania, a to, či je jej činnosť zameraná na dosahovanie zisku. </w:t>
      </w:r>
    </w:p>
    <w:p w14:paraId="731D96BC" w14:textId="77777777" w:rsidR="007066E0" w:rsidRPr="00482B36" w:rsidRDefault="007066E0" w:rsidP="002D6F9D">
      <w:pPr>
        <w:pStyle w:val="Default"/>
        <w:spacing w:line="276" w:lineRule="auto"/>
        <w:ind w:left="426"/>
        <w:jc w:val="both"/>
        <w:rPr>
          <w:color w:val="auto"/>
        </w:rPr>
      </w:pPr>
    </w:p>
    <w:p w14:paraId="512C97EB" w14:textId="77777777"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 xml:space="preserve">Znamená to, že ak nadobúdateľom kontroly je fyzická osoba, je potrebné posúdiť, či fyzická osoba je podnikateľom podľa zákona. Ak fyzická osoba je podnikateľom podľa zákona, napríklad v čase získania kontroly už kontroluje iného podnikateľa, pri určovaní účastníkov koncentrácie sa postupuje podľa tohto materiálu. </w:t>
      </w:r>
    </w:p>
    <w:p w14:paraId="36CCE252" w14:textId="77777777" w:rsidR="007066E0" w:rsidRDefault="007066E0" w:rsidP="002D6F9D">
      <w:pPr>
        <w:pStyle w:val="Default"/>
        <w:spacing w:line="276" w:lineRule="auto"/>
        <w:jc w:val="both"/>
        <w:rPr>
          <w:b/>
          <w:bCs/>
          <w:color w:val="auto"/>
        </w:rPr>
      </w:pPr>
    </w:p>
    <w:p w14:paraId="6D13365C" w14:textId="5988CBD5" w:rsidR="007066E0" w:rsidRPr="00B117F2" w:rsidRDefault="007066E0" w:rsidP="002D6F9D">
      <w:pPr>
        <w:pStyle w:val="Default"/>
        <w:spacing w:line="276" w:lineRule="auto"/>
        <w:jc w:val="both"/>
        <w:rPr>
          <w:color w:val="1E4E9D"/>
        </w:rPr>
      </w:pPr>
      <w:r w:rsidRPr="00B117F2">
        <w:rPr>
          <w:b/>
          <w:bCs/>
          <w:color w:val="1E4E9D"/>
        </w:rPr>
        <w:t xml:space="preserve">3.2.4 Zvýšenie počtu a výmena podnikateľov kontrolujúcich iného podnikateľa </w:t>
      </w:r>
    </w:p>
    <w:p w14:paraId="151947B5" w14:textId="77777777" w:rsidR="007066E0" w:rsidRDefault="007066E0" w:rsidP="002D6F9D">
      <w:pPr>
        <w:pStyle w:val="Default"/>
        <w:spacing w:line="276" w:lineRule="auto"/>
        <w:jc w:val="both"/>
        <w:rPr>
          <w:color w:val="auto"/>
        </w:rPr>
      </w:pPr>
    </w:p>
    <w:p w14:paraId="05E0ADF8" w14:textId="39F978DE" w:rsidR="007066E0" w:rsidRPr="008D36EF" w:rsidRDefault="007066E0" w:rsidP="002D6F9D">
      <w:pPr>
        <w:pStyle w:val="Default"/>
        <w:numPr>
          <w:ilvl w:val="0"/>
          <w:numId w:val="28"/>
        </w:numPr>
        <w:spacing w:after="128" w:line="276" w:lineRule="auto"/>
        <w:ind w:left="426" w:hanging="426"/>
        <w:jc w:val="both"/>
        <w:rPr>
          <w:color w:val="auto"/>
        </w:rPr>
      </w:pPr>
      <w:r w:rsidRPr="008D36EF">
        <w:rPr>
          <w:color w:val="auto"/>
        </w:rPr>
        <w:t>Ku koncentrácii podnikateľov môže dôjsť rôznymi formami zvýšenia počtu a výmeny podnikateľov kontrolujúcich iného podnikateľa, ako napr</w:t>
      </w:r>
      <w:r>
        <w:rPr>
          <w:color w:val="auto"/>
        </w:rPr>
        <w:t>íklad</w:t>
      </w:r>
      <w:r w:rsidRPr="008D36EF">
        <w:rPr>
          <w:color w:val="auto"/>
        </w:rPr>
        <w:t xml:space="preserve"> </w:t>
      </w:r>
    </w:p>
    <w:p w14:paraId="177EB3F3" w14:textId="77777777" w:rsidR="007066E0" w:rsidRDefault="007066E0" w:rsidP="00CA019E">
      <w:pPr>
        <w:pStyle w:val="Default"/>
        <w:numPr>
          <w:ilvl w:val="0"/>
          <w:numId w:val="36"/>
        </w:numPr>
        <w:spacing w:after="128" w:line="276" w:lineRule="auto"/>
        <w:jc w:val="both"/>
        <w:rPr>
          <w:color w:val="auto"/>
        </w:rPr>
      </w:pPr>
      <w:r w:rsidRPr="008D36EF">
        <w:rPr>
          <w:color w:val="auto"/>
        </w:rPr>
        <w:t>zvýšen</w:t>
      </w:r>
      <w:r>
        <w:rPr>
          <w:color w:val="auto"/>
        </w:rPr>
        <w:t>ím</w:t>
      </w:r>
      <w:r w:rsidRPr="008D36EF">
        <w:rPr>
          <w:color w:val="auto"/>
        </w:rPr>
        <w:t xml:space="preserve"> počtu podnikateľov kontrolujúcich podnikateľa vstupom nového podnikateľa, </w:t>
      </w:r>
    </w:p>
    <w:p w14:paraId="72CA353C" w14:textId="77777777" w:rsidR="007066E0" w:rsidRPr="008D36EF" w:rsidRDefault="007066E0" w:rsidP="00CA019E">
      <w:pPr>
        <w:pStyle w:val="Default"/>
        <w:numPr>
          <w:ilvl w:val="0"/>
          <w:numId w:val="36"/>
        </w:numPr>
        <w:spacing w:line="276" w:lineRule="auto"/>
        <w:jc w:val="both"/>
        <w:rPr>
          <w:color w:val="auto"/>
        </w:rPr>
      </w:pPr>
      <w:r w:rsidRPr="008D36EF">
        <w:rPr>
          <w:color w:val="auto"/>
        </w:rPr>
        <w:t>výmen</w:t>
      </w:r>
      <w:r>
        <w:rPr>
          <w:color w:val="auto"/>
        </w:rPr>
        <w:t>ou</w:t>
      </w:r>
      <w:r w:rsidRPr="008D36EF">
        <w:rPr>
          <w:color w:val="auto"/>
        </w:rPr>
        <w:t xml:space="preserve"> jedného alebo viacerých akcionárov alebo majiteľov obchodných podielov</w:t>
      </w:r>
      <w:r>
        <w:rPr>
          <w:color w:val="auto"/>
        </w:rPr>
        <w:t>, ktorá</w:t>
      </w:r>
      <w:r w:rsidRPr="008D36EF">
        <w:rPr>
          <w:color w:val="auto"/>
        </w:rPr>
        <w:t xml:space="preserve"> ved</w:t>
      </w:r>
      <w:r>
        <w:rPr>
          <w:color w:val="auto"/>
        </w:rPr>
        <w:t>ie</w:t>
      </w:r>
      <w:r w:rsidRPr="008D36EF">
        <w:rPr>
          <w:color w:val="auto"/>
        </w:rPr>
        <w:t xml:space="preserve"> k spoločnej kontrole pred aj po koncentrácii. </w:t>
      </w:r>
    </w:p>
    <w:p w14:paraId="52693555" w14:textId="77777777" w:rsidR="007066E0" w:rsidRPr="008D36EF" w:rsidRDefault="007066E0" w:rsidP="002D6F9D">
      <w:pPr>
        <w:pStyle w:val="Default"/>
        <w:spacing w:line="276" w:lineRule="auto"/>
        <w:jc w:val="both"/>
        <w:rPr>
          <w:color w:val="auto"/>
        </w:rPr>
      </w:pPr>
    </w:p>
    <w:p w14:paraId="292FE582" w14:textId="71946171" w:rsidR="007066E0" w:rsidRDefault="007066E0" w:rsidP="002D6F9D">
      <w:pPr>
        <w:pStyle w:val="Default"/>
        <w:numPr>
          <w:ilvl w:val="0"/>
          <w:numId w:val="28"/>
        </w:numPr>
        <w:spacing w:line="276" w:lineRule="auto"/>
        <w:ind w:left="426" w:hanging="426"/>
        <w:jc w:val="both"/>
        <w:rPr>
          <w:color w:val="auto"/>
        </w:rPr>
      </w:pPr>
      <w:r w:rsidRPr="008D36EF">
        <w:rPr>
          <w:color w:val="auto"/>
        </w:rPr>
        <w:t xml:space="preserve">Keďže zvýšením počtu podnikateľov alebo výmenou podnikateľov spoločne kontrolujúcich iného podnikateľa dochádza k zmene kvality kontroly, </w:t>
      </w:r>
      <w:r w:rsidR="00B117F2">
        <w:rPr>
          <w:color w:val="auto"/>
        </w:rPr>
        <w:t>ide</w:t>
      </w:r>
      <w:r w:rsidRPr="008D36EF">
        <w:rPr>
          <w:color w:val="auto"/>
        </w:rPr>
        <w:t xml:space="preserve"> o získanie kontroly, a teda o koncentráciu podľa § </w:t>
      </w:r>
      <w:r>
        <w:rPr>
          <w:color w:val="auto"/>
        </w:rPr>
        <w:t>7</w:t>
      </w:r>
      <w:r w:rsidRPr="008D36EF">
        <w:rPr>
          <w:color w:val="auto"/>
        </w:rPr>
        <w:t xml:space="preserve"> ods. 1 písm. b) zákona. V prípade zmeny spoločnej kontroly na </w:t>
      </w:r>
      <w:r>
        <w:rPr>
          <w:color w:val="auto"/>
        </w:rPr>
        <w:t xml:space="preserve">inú </w:t>
      </w:r>
      <w:r w:rsidRPr="008D36EF">
        <w:rPr>
          <w:color w:val="auto"/>
        </w:rPr>
        <w:t>spoločnú kontrolu</w:t>
      </w:r>
      <w:r>
        <w:rPr>
          <w:color w:val="auto"/>
        </w:rPr>
        <w:t>,</w:t>
      </w:r>
      <w:r w:rsidRPr="008D36EF">
        <w:rPr>
          <w:color w:val="auto"/>
        </w:rPr>
        <w:t xml:space="preserve"> na strane nadobúdateľov kontroly sú účastníkmi koncentrácie všetci podnikatelia, ktorí po koncentrácii budú vykonávať spoločnú kontrolu. Na strane nadobúdaného subjektu bude účastníkom koncentrácie podnikateľ, nad ktorým sa kontrola získava. </w:t>
      </w:r>
    </w:p>
    <w:p w14:paraId="4B8BE039" w14:textId="39BD9232" w:rsidR="007066E0" w:rsidRPr="00B117F2" w:rsidRDefault="007066E0" w:rsidP="002D6F9D">
      <w:pPr>
        <w:pStyle w:val="Default"/>
        <w:spacing w:line="276" w:lineRule="auto"/>
        <w:jc w:val="both"/>
        <w:rPr>
          <w:color w:val="1E4E9D"/>
        </w:rPr>
      </w:pPr>
      <w:r w:rsidRPr="00B117F2">
        <w:rPr>
          <w:b/>
          <w:bCs/>
          <w:color w:val="1E4E9D"/>
        </w:rPr>
        <w:lastRenderedPageBreak/>
        <w:t xml:space="preserve">3.2.5 Zníženie počtu podnikateľov spoločne kontrolujúcich iného podnikateľa, ktorého dôsledkom nie je zmena spoločnej kontroly na výlučnú kontrolu </w:t>
      </w:r>
    </w:p>
    <w:p w14:paraId="5025D781" w14:textId="77777777" w:rsidR="007066E0" w:rsidRDefault="007066E0" w:rsidP="002D6F9D">
      <w:pPr>
        <w:pStyle w:val="Default"/>
        <w:spacing w:line="276" w:lineRule="auto"/>
        <w:jc w:val="both"/>
        <w:rPr>
          <w:color w:val="auto"/>
        </w:rPr>
      </w:pPr>
    </w:p>
    <w:p w14:paraId="56C93FD0" w14:textId="2C45865D"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V</w:t>
      </w:r>
      <w:r w:rsidR="00B117F2">
        <w:rPr>
          <w:color w:val="auto"/>
        </w:rPr>
        <w:t> </w:t>
      </w:r>
      <w:r w:rsidRPr="008D36EF">
        <w:rPr>
          <w:color w:val="auto"/>
        </w:rPr>
        <w:t>prípadoch</w:t>
      </w:r>
      <w:r w:rsidR="00B117F2">
        <w:rPr>
          <w:color w:val="auto"/>
        </w:rPr>
        <w:t>,</w:t>
      </w:r>
      <w:r w:rsidRPr="008D36EF">
        <w:rPr>
          <w:color w:val="auto"/>
        </w:rPr>
        <w:t xml:space="preserve"> kedy sa zníži počet podnikateľov, ktorí pred transakciou spoločne kontrolovali iného podnikateľa bez toho</w:t>
      </w:r>
      <w:r>
        <w:rPr>
          <w:color w:val="auto"/>
        </w:rPr>
        <w:t>,</w:t>
      </w:r>
      <w:r w:rsidRPr="008D36EF">
        <w:rPr>
          <w:color w:val="auto"/>
        </w:rPr>
        <w:t xml:space="preserve"> aby došlo k zmene spoločnej kontroly na výlučnú a bez vstupu alebo výmeny podnikateľa vykonávajúceho kontrolu, vo všeobecnosti nedochádza k</w:t>
      </w:r>
      <w:r>
        <w:rPr>
          <w:color w:val="auto"/>
        </w:rPr>
        <w:t> </w:t>
      </w:r>
      <w:r w:rsidRPr="008D36EF">
        <w:rPr>
          <w:color w:val="auto"/>
        </w:rPr>
        <w:t xml:space="preserve">zmene kvality kontroly, a teda </w:t>
      </w:r>
      <w:r>
        <w:rPr>
          <w:color w:val="auto"/>
        </w:rPr>
        <w:t xml:space="preserve">nedochádza </w:t>
      </w:r>
      <w:r w:rsidRPr="008D36EF">
        <w:rPr>
          <w:color w:val="auto"/>
        </w:rPr>
        <w:t xml:space="preserve">ku koncentrácii. </w:t>
      </w:r>
    </w:p>
    <w:p w14:paraId="01A1E123" w14:textId="77777777" w:rsidR="007066E0" w:rsidRPr="008D36EF" w:rsidRDefault="007066E0" w:rsidP="002D6F9D">
      <w:pPr>
        <w:pStyle w:val="Default"/>
        <w:spacing w:line="276" w:lineRule="auto"/>
        <w:ind w:left="426" w:hanging="426"/>
        <w:jc w:val="both"/>
        <w:rPr>
          <w:color w:val="auto"/>
        </w:rPr>
      </w:pPr>
    </w:p>
    <w:p w14:paraId="3A46B5A3" w14:textId="7DAAD21E" w:rsidR="007066E0" w:rsidRPr="008D36EF" w:rsidRDefault="007066E0" w:rsidP="002D6F9D">
      <w:pPr>
        <w:pStyle w:val="Default"/>
        <w:numPr>
          <w:ilvl w:val="0"/>
          <w:numId w:val="28"/>
        </w:numPr>
        <w:spacing w:line="276" w:lineRule="auto"/>
        <w:ind w:left="426" w:hanging="426"/>
        <w:jc w:val="both"/>
        <w:rPr>
          <w:color w:val="auto"/>
        </w:rPr>
      </w:pPr>
      <w:r w:rsidRPr="008D36EF">
        <w:rPr>
          <w:color w:val="auto"/>
        </w:rPr>
        <w:t>Avšak</w:t>
      </w:r>
      <w:r w:rsidR="00B117F2">
        <w:rPr>
          <w:color w:val="auto"/>
        </w:rPr>
        <w:t>,</w:t>
      </w:r>
      <w:r w:rsidRPr="008D36EF">
        <w:rPr>
          <w:color w:val="auto"/>
        </w:rPr>
        <w:t xml:space="preserve"> ak znížením počtu podnikateľov spoločne kontrolujúcich iného podnikateľa dôjde k zmene kvality kontroly, najmä ak akcionári alebo majitelia obchodných podielov, ktorí pred transakciou nekontrolovali podnikateľa, kontrolu získajú, predmetnou transakciou dochádza k zmene kvality kontroly, a teda ku koncentrácii. V takýchto prípadoch sú účastníkmi koncentrácie na strane nadobúdateľa kontroly podnikatelia, ktorí po koncentrácii budú spoločne kontrolovať podnikateľa, a to jednak podnikatelia pred koncentráciou kontrolujúci iného podnikateľa, ako aj podnikatelia, ktorí koncentráciou kontrolu získajú. Na strane nadobúdaného subjektu bude účastníkom koncentrácie podnikateľ, nad ktorým sa kontrola získava. </w:t>
      </w:r>
    </w:p>
    <w:p w14:paraId="45B2F15A" w14:textId="77777777" w:rsidR="007066E0" w:rsidRDefault="007066E0" w:rsidP="002D6F9D">
      <w:pPr>
        <w:pStyle w:val="Default"/>
        <w:spacing w:line="276" w:lineRule="auto"/>
        <w:jc w:val="both"/>
        <w:rPr>
          <w:b/>
          <w:bCs/>
          <w:iCs/>
          <w:color w:val="auto"/>
        </w:rPr>
      </w:pPr>
    </w:p>
    <w:p w14:paraId="7CE1E567" w14:textId="414208F2" w:rsidR="007066E0" w:rsidRPr="00B117F2" w:rsidRDefault="007066E0" w:rsidP="002D6F9D">
      <w:pPr>
        <w:pStyle w:val="Default"/>
        <w:spacing w:line="276" w:lineRule="auto"/>
        <w:jc w:val="both"/>
        <w:rPr>
          <w:color w:val="1E4E9D"/>
          <w:sz w:val="28"/>
        </w:rPr>
      </w:pPr>
      <w:r w:rsidRPr="00B117F2">
        <w:rPr>
          <w:b/>
          <w:bCs/>
          <w:iCs/>
          <w:color w:val="1E4E9D"/>
          <w:sz w:val="28"/>
        </w:rPr>
        <w:t>4</w:t>
      </w:r>
      <w:r w:rsidRPr="00B117F2">
        <w:rPr>
          <w:b/>
          <w:bCs/>
          <w:i/>
          <w:iCs/>
          <w:color w:val="1E4E9D"/>
          <w:sz w:val="28"/>
        </w:rPr>
        <w:t xml:space="preserve"> </w:t>
      </w:r>
      <w:r w:rsidRPr="00B117F2">
        <w:rPr>
          <w:b/>
          <w:bCs/>
          <w:color w:val="1E4E9D"/>
          <w:sz w:val="28"/>
        </w:rPr>
        <w:t xml:space="preserve">ZÁVER </w:t>
      </w:r>
    </w:p>
    <w:p w14:paraId="012AAD36" w14:textId="77777777" w:rsidR="007066E0" w:rsidRDefault="007066E0" w:rsidP="002D6F9D">
      <w:pPr>
        <w:pStyle w:val="Default"/>
        <w:spacing w:line="276" w:lineRule="auto"/>
        <w:jc w:val="both"/>
        <w:rPr>
          <w:color w:val="auto"/>
        </w:rPr>
      </w:pPr>
    </w:p>
    <w:p w14:paraId="5D43AFC8" w14:textId="77777777" w:rsidR="007066E0" w:rsidRDefault="007066E0" w:rsidP="002D6F9D">
      <w:pPr>
        <w:pStyle w:val="Odsekzoznamu"/>
        <w:numPr>
          <w:ilvl w:val="0"/>
          <w:numId w:val="28"/>
        </w:numPr>
        <w:spacing w:after="0" w:line="276" w:lineRule="auto"/>
        <w:jc w:val="both"/>
      </w:pPr>
      <w:r w:rsidRPr="000C642E">
        <w:rPr>
          <w:rFonts w:ascii="Arial" w:hAnsi="Arial" w:cs="Arial"/>
          <w:sz w:val="24"/>
          <w:szCs w:val="24"/>
        </w:rPr>
        <w:t>Tento materiál nemá záväzné účinky. Úrad však vyjadruje svoju vôľu postupovať v súlade s jeho obsahom. Konkrétny prípad si v závislosti od špecifických okolností prípadu môže vyžiadať odchýlky od týchto všeobecných pravidiel</w:t>
      </w:r>
      <w:r w:rsidRPr="008736AD">
        <w:rPr>
          <w:rFonts w:ascii="Arial" w:hAnsi="Arial" w:cs="Arial"/>
          <w:sz w:val="23"/>
          <w:szCs w:val="23"/>
        </w:rPr>
        <w:t>.</w:t>
      </w:r>
    </w:p>
    <w:p w14:paraId="3D6AC4A1" w14:textId="77777777" w:rsidR="00B117F2" w:rsidRDefault="00B117F2" w:rsidP="002D6F9D">
      <w:pPr>
        <w:pStyle w:val="Default"/>
        <w:spacing w:line="276" w:lineRule="auto"/>
        <w:ind w:left="360"/>
        <w:jc w:val="both"/>
        <w:rPr>
          <w:color w:val="auto"/>
        </w:rPr>
      </w:pPr>
    </w:p>
    <w:p w14:paraId="08BB6A38" w14:textId="7C1BFF2E" w:rsidR="007066E0" w:rsidRPr="00764CCB" w:rsidRDefault="007066E0" w:rsidP="002D6F9D">
      <w:pPr>
        <w:pStyle w:val="Default"/>
        <w:spacing w:line="276" w:lineRule="auto"/>
        <w:ind w:left="360"/>
        <w:jc w:val="both"/>
        <w:rPr>
          <w:color w:val="auto"/>
        </w:rPr>
      </w:pPr>
      <w:r>
        <w:rPr>
          <w:color w:val="auto"/>
        </w:rPr>
        <w:t xml:space="preserve">Úrad odporúča podnikateľom a ich právnym zástupcom, aby v prípade dodatočných otázok </w:t>
      </w:r>
      <w:r w:rsidR="00E87FC1">
        <w:rPr>
          <w:color w:val="auto"/>
        </w:rPr>
        <w:t>kontaktovali úrad</w:t>
      </w:r>
      <w:r>
        <w:rPr>
          <w:color w:val="auto"/>
        </w:rPr>
        <w:t xml:space="preserve"> so žiadosťou o konzultáciu v rámci </w:t>
      </w:r>
      <w:proofErr w:type="spellStart"/>
      <w:r>
        <w:rPr>
          <w:color w:val="auto"/>
        </w:rPr>
        <w:t>prednotifikačných</w:t>
      </w:r>
      <w:proofErr w:type="spellEnd"/>
      <w:r>
        <w:rPr>
          <w:color w:val="auto"/>
        </w:rPr>
        <w:t xml:space="preserve"> kontaktov</w:t>
      </w:r>
      <w:r w:rsidRPr="00E87FC1">
        <w:rPr>
          <w:rStyle w:val="Odkaznapoznmkupodiarou"/>
          <w:rFonts w:ascii="Arial" w:hAnsi="Arial" w:cs="Arial"/>
          <w:i/>
          <w:color w:val="auto"/>
        </w:rPr>
        <w:footnoteReference w:id="3"/>
      </w:r>
      <w:r w:rsidRPr="008D36EF">
        <w:rPr>
          <w:color w:val="auto"/>
        </w:rPr>
        <w:t xml:space="preserve">. </w:t>
      </w:r>
    </w:p>
    <w:p w14:paraId="40A03136" w14:textId="46F6C66C" w:rsidR="007C45EA" w:rsidRDefault="007C45EA" w:rsidP="007066E0">
      <w:pPr>
        <w:jc w:val="both"/>
        <w:rPr>
          <w:rFonts w:ascii="Arial" w:hAnsi="Arial" w:cs="Arial"/>
          <w:sz w:val="24"/>
          <w:szCs w:val="24"/>
        </w:rPr>
      </w:pPr>
    </w:p>
    <w:p w14:paraId="04270072" w14:textId="77777777" w:rsidR="007066E0" w:rsidRPr="007066E0" w:rsidRDefault="007066E0" w:rsidP="007066E0">
      <w:pPr>
        <w:jc w:val="both"/>
        <w:rPr>
          <w:rFonts w:ascii="Arial" w:hAnsi="Arial" w:cs="Arial"/>
          <w:sz w:val="24"/>
          <w:szCs w:val="24"/>
        </w:rPr>
      </w:pPr>
    </w:p>
    <w:p w14:paraId="5C8CABCC" w14:textId="77777777" w:rsidR="003656D7" w:rsidRPr="003656D7" w:rsidRDefault="003656D7" w:rsidP="003656D7">
      <w:pPr>
        <w:pStyle w:val="Default"/>
        <w:spacing w:line="276" w:lineRule="auto"/>
        <w:jc w:val="both"/>
        <w:rPr>
          <w:rFonts w:ascii="Arial" w:hAnsi="Arial" w:cs="Arial"/>
          <w:color w:val="auto"/>
        </w:rPr>
      </w:pPr>
    </w:p>
    <w:sectPr w:rsidR="003656D7" w:rsidRPr="003656D7" w:rsidSect="00A73A02">
      <w:footerReference w:type="default" r:id="rId10"/>
      <w:footerReference w:type="first" r:id="rId11"/>
      <w:pgSz w:w="11906" w:h="16838"/>
      <w:pgMar w:top="1417" w:right="1417" w:bottom="1417" w:left="1417"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EB7D" w14:textId="77777777" w:rsidR="00A12417" w:rsidRDefault="00A12417" w:rsidP="00A73A02">
      <w:pPr>
        <w:spacing w:after="0"/>
      </w:pPr>
      <w:r>
        <w:separator/>
      </w:r>
    </w:p>
  </w:endnote>
  <w:endnote w:type="continuationSeparator" w:id="0">
    <w:p w14:paraId="16FE95C6" w14:textId="77777777" w:rsidR="00A12417" w:rsidRDefault="00A12417"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mo">
    <w:altName w:val="Arimo"/>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741DF" w14:textId="10BC98D1" w:rsidR="00A73A02" w:rsidRPr="003656D7" w:rsidRDefault="00D67257" w:rsidP="00A73A02">
    <w:pPr>
      <w:pStyle w:val="Pta"/>
      <w:ind w:left="6096" w:firstLine="1701"/>
      <w:jc w:val="right"/>
      <w:rPr>
        <w:sz w:val="16"/>
        <w:szCs w:val="16"/>
      </w:rPr>
    </w:pPr>
    <w:r w:rsidRPr="00A73A02">
      <w:rPr>
        <w:noProof/>
        <w:sz w:val="28"/>
        <w:lang w:eastAsia="sk-SK"/>
      </w:rPr>
      <mc:AlternateContent>
        <mc:Choice Requires="wps">
          <w:drawing>
            <wp:anchor distT="45720" distB="45720" distL="114300" distR="114300" simplePos="0" relativeHeight="251660287" behindDoc="0" locked="0" layoutInCell="1" allowOverlap="1" wp14:anchorId="3C810874" wp14:editId="3D2E2EEB">
              <wp:simplePos x="0" y="0"/>
              <wp:positionH relativeFrom="column">
                <wp:posOffset>-728345</wp:posOffset>
              </wp:positionH>
              <wp:positionV relativeFrom="paragraph">
                <wp:posOffset>-14976</wp:posOffset>
              </wp:positionV>
              <wp:extent cx="6210300" cy="245110"/>
              <wp:effectExtent l="0" t="0" r="0" b="254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45110"/>
                      </a:xfrm>
                      <a:prstGeom prst="rect">
                        <a:avLst/>
                      </a:prstGeom>
                      <a:noFill/>
                      <a:ln w="9525">
                        <a:noFill/>
                        <a:miter lim="800000"/>
                        <a:headEnd/>
                        <a:tailEnd/>
                      </a:ln>
                    </wps:spPr>
                    <wps:txbx>
                      <w:txbxContent>
                        <w:p w14:paraId="5C3D388F" w14:textId="153D7096" w:rsidR="00A73A02" w:rsidRPr="003656D7" w:rsidRDefault="003656D7">
                          <w:pPr>
                            <w:rPr>
                              <w:rFonts w:ascii="Arial" w:hAnsi="Arial" w:cs="Arial"/>
                              <w:i/>
                              <w:color w:val="FFFFFF"/>
                              <w:sz w:val="16"/>
                              <w:szCs w:val="16"/>
                            </w:rPr>
                          </w:pPr>
                          <w:r w:rsidRPr="003656D7">
                            <w:rPr>
                              <w:rFonts w:ascii="Arial" w:hAnsi="Arial" w:cs="Arial"/>
                              <w:i/>
                              <w:color w:val="FFFFFF"/>
                              <w:sz w:val="16"/>
                              <w:szCs w:val="16"/>
                            </w:rPr>
                            <w:t xml:space="preserve">Usmernenie Protimonopolného úradu Slovenskej republiky </w:t>
                          </w:r>
                          <w:r w:rsidR="007066E0">
                            <w:rPr>
                              <w:rFonts w:ascii="Arial" w:hAnsi="Arial" w:cs="Arial"/>
                              <w:i/>
                              <w:color w:val="FFFFFF"/>
                              <w:sz w:val="16"/>
                              <w:szCs w:val="16"/>
                            </w:rPr>
                            <w:t xml:space="preserve">ohľadom identifikácie účastníkov koncentrácie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10874" id="_x0000_t202" coordsize="21600,21600" o:spt="202" path="m,l,21600r21600,l21600,xe">
              <v:stroke joinstyle="miter"/>
              <v:path gradientshapeok="t" o:connecttype="rect"/>
            </v:shapetype>
            <v:shape id="_x0000_s1027" type="#_x0000_t202" style="position:absolute;left:0;text-align:left;margin-left:-57.35pt;margin-top:-1.2pt;width:489pt;height:19.3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" filled="f" stroked="f">
              <v:textbox>
                <w:txbxContent>
                  <w:p w14:paraId="5C3D388F" w14:textId="153D7096" w:rsidR="00A73A02" w:rsidRPr="003656D7" w:rsidRDefault="003656D7">
                    <w:pPr>
                      <w:rPr>
                        <w:rFonts w:ascii="Arial" w:hAnsi="Arial" w:cs="Arial"/>
                        <w:i/>
                        <w:color w:val="FFFFFF"/>
                        <w:sz w:val="16"/>
                        <w:szCs w:val="16"/>
                      </w:rPr>
                    </w:pPr>
                    <w:r w:rsidRPr="003656D7">
                      <w:rPr>
                        <w:rFonts w:ascii="Arial" w:hAnsi="Arial" w:cs="Arial"/>
                        <w:i/>
                        <w:color w:val="FFFFFF"/>
                        <w:sz w:val="16"/>
                        <w:szCs w:val="16"/>
                      </w:rPr>
                      <w:t xml:space="preserve">Usmernenie Protimonopolného úradu Slovenskej republiky </w:t>
                    </w:r>
                    <w:r w:rsidR="007066E0">
                      <w:rPr>
                        <w:rFonts w:ascii="Arial" w:hAnsi="Arial" w:cs="Arial"/>
                        <w:i/>
                        <w:color w:val="FFFFFF"/>
                        <w:sz w:val="16"/>
                        <w:szCs w:val="16"/>
                      </w:rPr>
                      <w:t xml:space="preserve">ohľadom identifikácie účastníkov koncentrácie </w:t>
                    </w:r>
                  </w:p>
                </w:txbxContent>
              </v:textbox>
            </v:shape>
          </w:pict>
        </mc:Fallback>
      </mc:AlternateContent>
    </w:r>
    <w:r w:rsidR="00680C33" w:rsidRPr="003656D7">
      <w:rPr>
        <w:rFonts w:ascii="Arial" w:hAnsi="Arial" w:cs="Arial"/>
        <w:noProof/>
        <w:color w:val="1E4E9D"/>
        <w:sz w:val="16"/>
        <w:szCs w:val="16"/>
        <w:lang w:eastAsia="sk-SK"/>
      </w:rPr>
      <mc:AlternateContent>
        <mc:Choice Requires="wps">
          <w:drawing>
            <wp:anchor distT="0" distB="0" distL="114300" distR="114300" simplePos="0" relativeHeight="251658239" behindDoc="1" locked="0" layoutInCell="1" allowOverlap="1" wp14:anchorId="2FCAD2FA" wp14:editId="130C7FFD">
              <wp:simplePos x="0" y="0"/>
              <wp:positionH relativeFrom="column">
                <wp:posOffset>5600861</wp:posOffset>
              </wp:positionH>
              <wp:positionV relativeFrom="paragraph">
                <wp:posOffset>-24765</wp:posOffset>
              </wp:positionV>
              <wp:extent cx="266700" cy="247650"/>
              <wp:effectExtent l="0" t="0" r="19050" b="19050"/>
              <wp:wrapNone/>
              <wp:docPr id="10" name="Ovál 10"/>
              <wp:cNvGraphicFramePr/>
              <a:graphic xmlns:a="http://schemas.openxmlformats.org/drawingml/2006/main">
                <a:graphicData uri="http://schemas.microsoft.com/office/word/2010/wordprocessingShape">
                  <wps:wsp>
                    <wps:cNvSpPr/>
                    <wps:spPr>
                      <a:xfrm>
                        <a:off x="0" y="0"/>
                        <a:ext cx="266700" cy="247650"/>
                      </a:xfrm>
                      <a:prstGeom prst="ellipse">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AE4C8" id="Ovál 10" o:spid="_x0000_s1026" style="position:absolute;margin-left:441pt;margin-top:-1.95pt;width:21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" strokecolor="white" strokeweight="1pt">
              <v:stroke joinstyle="miter"/>
            </v:oval>
          </w:pict>
        </mc:Fallback>
      </mc:AlternateContent>
    </w:r>
    <w:r w:rsidR="00680C33" w:rsidRPr="00A73A02">
      <w:rPr>
        <w:rFonts w:ascii="Arial" w:hAnsi="Arial" w:cs="Arial"/>
        <w:noProof/>
        <w:color w:val="1E4E9D"/>
        <w:sz w:val="14"/>
        <w:lang w:eastAsia="sk-SK"/>
      </w:rPr>
      <mc:AlternateContent>
        <mc:Choice Requires="wps">
          <w:drawing>
            <wp:anchor distT="0" distB="0" distL="114300" distR="114300" simplePos="0" relativeHeight="251657214" behindDoc="1" locked="0" layoutInCell="1" allowOverlap="1" wp14:anchorId="6196C51B" wp14:editId="70147F7D">
              <wp:simplePos x="0" y="0"/>
              <wp:positionH relativeFrom="column">
                <wp:posOffset>-695325</wp:posOffset>
              </wp:positionH>
              <wp:positionV relativeFrom="paragraph">
                <wp:posOffset>-23021</wp:posOffset>
              </wp:positionV>
              <wp:extent cx="7356475" cy="247650"/>
              <wp:effectExtent l="0" t="0" r="15875" b="19050"/>
              <wp:wrapNone/>
              <wp:docPr id="9" name="Obdĺžnik 18"/>
              <wp:cNvGraphicFramePr/>
              <a:graphic xmlns:a="http://schemas.openxmlformats.org/drawingml/2006/main">
                <a:graphicData uri="http://schemas.microsoft.com/office/word/2010/wordprocessingShape">
                  <wps:wsp>
                    <wps:cNvSpPr/>
                    <wps:spPr>
                      <a:xfrm>
                        <a:off x="0" y="0"/>
                        <a:ext cx="7356475" cy="247650"/>
                      </a:xfrm>
                      <a:prstGeom prst="rect">
                        <a:avLst/>
                      </a:prstGeom>
                      <a:solidFill>
                        <a:srgbClr val="1E4E9D"/>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29DC47B" id="Obdĺžnik 18" o:spid="_x0000_s1026" style="position:absolute;margin-left:-54.75pt;margin-top:-1.8pt;width:579.25pt;height:1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" fillcolor="#1e4e9d" strokecolor="#1f4d78 [1604]" strokeweight="1pt"/>
          </w:pict>
        </mc:Fallback>
      </mc:AlternateContent>
    </w:r>
    <w:sdt>
      <w:sdtPr>
        <w:rPr>
          <w:sz w:val="28"/>
        </w:rPr>
        <w:id w:val="-1937666627"/>
        <w:docPartObj>
          <w:docPartGallery w:val="Page Numbers (Bottom of Page)"/>
          <w:docPartUnique/>
        </w:docPartObj>
      </w:sdtPr>
      <w:sdtEndPr>
        <w:rPr>
          <w:sz w:val="16"/>
          <w:szCs w:val="16"/>
        </w:rPr>
      </w:sdtEndPr>
      <w:sdtContent>
        <w:r w:rsidR="00A73A02" w:rsidRPr="003656D7">
          <w:rPr>
            <w:rFonts w:ascii="Arial" w:hAnsi="Arial" w:cs="Arial"/>
            <w:color w:val="1E4E9D"/>
            <w:sz w:val="16"/>
            <w:szCs w:val="16"/>
          </w:rPr>
          <w:fldChar w:fldCharType="begin"/>
        </w:r>
        <w:r w:rsidR="00A73A02" w:rsidRPr="003656D7">
          <w:rPr>
            <w:rFonts w:ascii="Arial" w:hAnsi="Arial" w:cs="Arial"/>
            <w:color w:val="1E4E9D"/>
            <w:sz w:val="16"/>
            <w:szCs w:val="16"/>
          </w:rPr>
          <w:instrText>PAGE   \* MERGEFORMAT</w:instrText>
        </w:r>
        <w:r w:rsidR="00A73A02" w:rsidRPr="003656D7">
          <w:rPr>
            <w:rFonts w:ascii="Arial" w:hAnsi="Arial" w:cs="Arial"/>
            <w:color w:val="1E4E9D"/>
            <w:sz w:val="16"/>
            <w:szCs w:val="16"/>
          </w:rPr>
          <w:fldChar w:fldCharType="separate"/>
        </w:r>
        <w:r w:rsidR="00D0391F">
          <w:rPr>
            <w:rFonts w:ascii="Arial" w:hAnsi="Arial" w:cs="Arial"/>
            <w:noProof/>
            <w:color w:val="1E4E9D"/>
            <w:sz w:val="16"/>
            <w:szCs w:val="16"/>
          </w:rPr>
          <w:t>9</w:t>
        </w:r>
        <w:r w:rsidR="00A73A02" w:rsidRPr="003656D7">
          <w:rPr>
            <w:rFonts w:ascii="Arial" w:hAnsi="Arial" w:cs="Arial"/>
            <w:color w:val="1E4E9D"/>
            <w:sz w:val="16"/>
            <w:szCs w:val="16"/>
          </w:rPr>
          <w:fldChar w:fldCharType="end"/>
        </w:r>
      </w:sdtContent>
    </w:sdt>
  </w:p>
  <w:p w14:paraId="1BE6BFC3" w14:textId="77777777" w:rsidR="00A73A02" w:rsidRDefault="00A73A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9EC8" w14:textId="77777777" w:rsidR="00FA0403" w:rsidRDefault="00FA0403"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B4863" w14:textId="77777777" w:rsidR="00A12417" w:rsidRDefault="00A12417" w:rsidP="00A73A02">
      <w:pPr>
        <w:spacing w:after="0"/>
      </w:pPr>
      <w:r>
        <w:separator/>
      </w:r>
    </w:p>
  </w:footnote>
  <w:footnote w:type="continuationSeparator" w:id="0">
    <w:p w14:paraId="466D0478" w14:textId="77777777" w:rsidR="00A12417" w:rsidRDefault="00A12417" w:rsidP="00A73A02">
      <w:pPr>
        <w:spacing w:after="0"/>
      </w:pPr>
      <w:r>
        <w:continuationSeparator/>
      </w:r>
    </w:p>
  </w:footnote>
  <w:footnote w:id="1">
    <w:p w14:paraId="18E6AE21" w14:textId="227FBBF4" w:rsidR="007066E0" w:rsidRPr="007066E0" w:rsidRDefault="007066E0" w:rsidP="007066E0">
      <w:pPr>
        <w:pStyle w:val="Textkomentra"/>
        <w:jc w:val="both"/>
        <w:rPr>
          <w:rFonts w:ascii="Arial" w:hAnsi="Arial" w:cs="Arial"/>
          <w:i/>
        </w:rPr>
      </w:pPr>
      <w:r w:rsidRPr="007066E0">
        <w:rPr>
          <w:rStyle w:val="Odkaznapoznmkupodiarou"/>
          <w:i/>
        </w:rPr>
        <w:footnoteRef/>
      </w:r>
      <w:r w:rsidRPr="007066E0">
        <w:rPr>
          <w:rFonts w:ascii="Arial" w:hAnsi="Arial" w:cs="Arial"/>
          <w:i/>
        </w:rPr>
        <w:t xml:space="preserve"> V zmysle definície pojmu podnikateľ ustanovenej v § 3 ods. 1 zákona možno rozlišovať podnikateľa v širšom a užšom zmysle. Podľa predmetného ustanovenia zákona sa podnikateľom rozumie entita, ktorá vykonáva hospodársku činnosť alebo ak ide o jej činnosť a konanie, ktoré súvisí alebo môže súvisieť so súťažou, bez ohľadu na jej právnu formu, existenciu právnej subjektivity, spôsob jej financovania, a to, či je jej činnosť zameraná na dosahovanie zisku. Za jedného podnikateľa možno považovať aj viacero fyzických osôb alebo právnických osôb, ktoré sú prepojené na základe vzťahov kontroly alebo iných zmluvných, majetkových, personálnych alebo organizačných vzťahov. Za podnikateľa sa považuje aj združenie podnikateľov alebo združenia týchto združení. </w:t>
      </w:r>
    </w:p>
    <w:p w14:paraId="64B2DBE9" w14:textId="65BBB3F1" w:rsidR="007066E0" w:rsidRPr="007066E0" w:rsidRDefault="007066E0" w:rsidP="007066E0">
      <w:pPr>
        <w:pStyle w:val="Textkomentra"/>
        <w:jc w:val="both"/>
        <w:rPr>
          <w:rFonts w:ascii="Arial" w:hAnsi="Arial" w:cs="Arial"/>
          <w:i/>
        </w:rPr>
      </w:pPr>
      <w:r w:rsidRPr="007066E0">
        <w:rPr>
          <w:rFonts w:ascii="Arial" w:hAnsi="Arial" w:cs="Arial"/>
          <w:i/>
        </w:rPr>
        <w:t xml:space="preserve">V tomto usmernení sa pojem podnikateľ používa v užšom zmysle – ako konkrétna právnická osoba/fyzická osoba, ale aj v širšom zmysle - ako entita bez ohľadu na existenciu právnej subjektivity, pričom uvedené je vyslovene rozlíšené v rámci tohto usmernenia len tam, kde je to nevyhnutné. </w:t>
      </w:r>
    </w:p>
    <w:p w14:paraId="3CAB7520" w14:textId="77777777" w:rsidR="007066E0" w:rsidRDefault="007066E0" w:rsidP="007066E0">
      <w:pPr>
        <w:pStyle w:val="Textpoznmkypodiarou"/>
      </w:pPr>
    </w:p>
  </w:footnote>
  <w:footnote w:id="2">
    <w:p w14:paraId="18B933A7" w14:textId="77777777" w:rsidR="007066E0" w:rsidRPr="00172829" w:rsidRDefault="007066E0" w:rsidP="00172829">
      <w:pPr>
        <w:jc w:val="both"/>
        <w:rPr>
          <w:rFonts w:ascii="Arial" w:hAnsi="Arial" w:cs="Arial"/>
          <w:i/>
          <w:sz w:val="20"/>
          <w:szCs w:val="20"/>
        </w:rPr>
      </w:pPr>
      <w:r w:rsidRPr="00172829">
        <w:rPr>
          <w:rStyle w:val="Odkaznapoznmkupodiarou"/>
          <w:rFonts w:ascii="Arial" w:hAnsi="Arial" w:cs="Arial"/>
          <w:i/>
          <w:sz w:val="20"/>
          <w:szCs w:val="20"/>
        </w:rPr>
        <w:footnoteRef/>
      </w:r>
      <w:r w:rsidRPr="00172829">
        <w:rPr>
          <w:rFonts w:ascii="Arial" w:hAnsi="Arial" w:cs="Arial"/>
          <w:i/>
          <w:sz w:val="20"/>
          <w:szCs w:val="20"/>
        </w:rPr>
        <w:t xml:space="preserve"> Kontrola podľa § 7 ods. 4 zákona je možnosť vykonávať rozhodujúci vplyv na činnosť podnikateľa, najmä prostredníctvom</w:t>
      </w:r>
    </w:p>
    <w:p w14:paraId="13FF5E25" w14:textId="77777777" w:rsidR="007066E0" w:rsidRPr="00172829" w:rsidRDefault="007066E0" w:rsidP="00172829">
      <w:pPr>
        <w:spacing w:after="0"/>
        <w:jc w:val="both"/>
        <w:rPr>
          <w:rFonts w:ascii="Arial" w:hAnsi="Arial" w:cs="Arial"/>
          <w:i/>
          <w:sz w:val="20"/>
          <w:szCs w:val="20"/>
        </w:rPr>
      </w:pPr>
      <w:r w:rsidRPr="00172829">
        <w:rPr>
          <w:rFonts w:ascii="Arial" w:hAnsi="Arial" w:cs="Arial"/>
          <w:i/>
          <w:sz w:val="20"/>
          <w:szCs w:val="20"/>
        </w:rPr>
        <w:t>a) vlastníckeho práva alebo iných práv,</w:t>
      </w:r>
    </w:p>
    <w:p w14:paraId="46CB6810" w14:textId="77777777" w:rsidR="007066E0" w:rsidRPr="00172829" w:rsidRDefault="007066E0" w:rsidP="00172829">
      <w:pPr>
        <w:spacing w:after="0"/>
        <w:jc w:val="both"/>
        <w:rPr>
          <w:rFonts w:ascii="Arial" w:hAnsi="Arial" w:cs="Arial"/>
          <w:i/>
          <w:sz w:val="20"/>
          <w:szCs w:val="20"/>
        </w:rPr>
      </w:pPr>
      <w:r w:rsidRPr="00172829">
        <w:rPr>
          <w:rFonts w:ascii="Arial" w:hAnsi="Arial" w:cs="Arial"/>
          <w:i/>
          <w:sz w:val="20"/>
          <w:szCs w:val="20"/>
        </w:rPr>
        <w:t>b) práv, zmlúv alebo na základe iných skutočností, ktoré umožňujú vykonávať rozhodujúci vplyv na zloženie, hlasovanie alebo rozhodovanie orgánov podnikateľa.</w:t>
      </w:r>
    </w:p>
  </w:footnote>
  <w:footnote w:id="3">
    <w:p w14:paraId="0464179D" w14:textId="5407238C" w:rsidR="007066E0" w:rsidRPr="00E87FC1" w:rsidRDefault="007066E0" w:rsidP="007066E0">
      <w:pPr>
        <w:pStyle w:val="Textpoznmkypodiarou"/>
        <w:rPr>
          <w:i/>
        </w:rPr>
      </w:pPr>
      <w:r w:rsidRPr="00E87FC1">
        <w:rPr>
          <w:rStyle w:val="Odkaznapoznmkupodiarou"/>
          <w:i/>
        </w:rPr>
        <w:footnoteRef/>
      </w:r>
      <w:r w:rsidRPr="00E87FC1">
        <w:rPr>
          <w:i/>
        </w:rPr>
        <w:t xml:space="preserve"> </w:t>
      </w:r>
      <w:hyperlink r:id="rId1" w:history="1">
        <w:r w:rsidR="00E87FC1" w:rsidRPr="00774BA7">
          <w:rPr>
            <w:rStyle w:val="Hypertextovprepojenie"/>
            <w:i/>
          </w:rPr>
          <w:t>https://www.antimon.gov.sk/data/files/1203_usmernenie-o-prednotifikacnych-kontaktoch-v-procese-posudzovania-koncentracii.pdf</w:t>
        </w:r>
      </w:hyperlink>
      <w:r w:rsidR="00E87FC1">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BE3"/>
    <w:multiLevelType w:val="hybridMultilevel"/>
    <w:tmpl w:val="98E885C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6369"/>
    <w:multiLevelType w:val="hybridMultilevel"/>
    <w:tmpl w:val="1298B59A"/>
    <w:lvl w:ilvl="0" w:tplc="041B0011">
      <w:start w:val="1"/>
      <w:numFmt w:val="decimal"/>
      <w:lvlText w:val="%1)"/>
      <w:lvlJc w:val="left"/>
      <w:pPr>
        <w:ind w:left="3533" w:hanging="360"/>
      </w:pPr>
    </w:lvl>
    <w:lvl w:ilvl="1" w:tplc="041B0019" w:tentative="1">
      <w:start w:val="1"/>
      <w:numFmt w:val="lowerLetter"/>
      <w:lvlText w:val="%2."/>
      <w:lvlJc w:val="left"/>
      <w:pPr>
        <w:ind w:left="4253" w:hanging="360"/>
      </w:pPr>
    </w:lvl>
    <w:lvl w:ilvl="2" w:tplc="041B001B" w:tentative="1">
      <w:start w:val="1"/>
      <w:numFmt w:val="lowerRoman"/>
      <w:lvlText w:val="%3."/>
      <w:lvlJc w:val="right"/>
      <w:pPr>
        <w:ind w:left="4973" w:hanging="180"/>
      </w:pPr>
    </w:lvl>
    <w:lvl w:ilvl="3" w:tplc="041B000F" w:tentative="1">
      <w:start w:val="1"/>
      <w:numFmt w:val="decimal"/>
      <w:lvlText w:val="%4."/>
      <w:lvlJc w:val="left"/>
      <w:pPr>
        <w:ind w:left="5693" w:hanging="360"/>
      </w:pPr>
    </w:lvl>
    <w:lvl w:ilvl="4" w:tplc="041B0019" w:tentative="1">
      <w:start w:val="1"/>
      <w:numFmt w:val="lowerLetter"/>
      <w:lvlText w:val="%5."/>
      <w:lvlJc w:val="left"/>
      <w:pPr>
        <w:ind w:left="6413" w:hanging="360"/>
      </w:pPr>
    </w:lvl>
    <w:lvl w:ilvl="5" w:tplc="041B001B" w:tentative="1">
      <w:start w:val="1"/>
      <w:numFmt w:val="lowerRoman"/>
      <w:lvlText w:val="%6."/>
      <w:lvlJc w:val="right"/>
      <w:pPr>
        <w:ind w:left="7133" w:hanging="180"/>
      </w:pPr>
    </w:lvl>
    <w:lvl w:ilvl="6" w:tplc="041B000F" w:tentative="1">
      <w:start w:val="1"/>
      <w:numFmt w:val="decimal"/>
      <w:lvlText w:val="%7."/>
      <w:lvlJc w:val="left"/>
      <w:pPr>
        <w:ind w:left="7853" w:hanging="360"/>
      </w:pPr>
    </w:lvl>
    <w:lvl w:ilvl="7" w:tplc="041B0019" w:tentative="1">
      <w:start w:val="1"/>
      <w:numFmt w:val="lowerLetter"/>
      <w:lvlText w:val="%8."/>
      <w:lvlJc w:val="left"/>
      <w:pPr>
        <w:ind w:left="8573" w:hanging="360"/>
      </w:pPr>
    </w:lvl>
    <w:lvl w:ilvl="8" w:tplc="041B001B" w:tentative="1">
      <w:start w:val="1"/>
      <w:numFmt w:val="lowerRoman"/>
      <w:lvlText w:val="%9."/>
      <w:lvlJc w:val="right"/>
      <w:pPr>
        <w:ind w:left="9293" w:hanging="180"/>
      </w:pPr>
    </w:lvl>
  </w:abstractNum>
  <w:abstractNum w:abstractNumId="2" w15:restartNumberingAfterBreak="0">
    <w:nsid w:val="059C4F71"/>
    <w:multiLevelType w:val="hybridMultilevel"/>
    <w:tmpl w:val="DFB81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5AD71AE"/>
    <w:multiLevelType w:val="hybridMultilevel"/>
    <w:tmpl w:val="CBB8D3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AF12AB"/>
    <w:multiLevelType w:val="hybridMultilevel"/>
    <w:tmpl w:val="D94E1452"/>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FD054AD"/>
    <w:multiLevelType w:val="hybridMultilevel"/>
    <w:tmpl w:val="642E9142"/>
    <w:lvl w:ilvl="0" w:tplc="041B0017">
      <w:start w:val="1"/>
      <w:numFmt w:val="lowerLetter"/>
      <w:lvlText w:val="%1)"/>
      <w:lvlJc w:val="left"/>
      <w:pPr>
        <w:ind w:left="780" w:hanging="360"/>
      </w:p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171239C5"/>
    <w:multiLevelType w:val="hybridMultilevel"/>
    <w:tmpl w:val="CDF4851E"/>
    <w:lvl w:ilvl="0" w:tplc="6DDE6EE0">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289DD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2CE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DFA12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488A3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BABCF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4202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20132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7E8C4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D16A08"/>
    <w:multiLevelType w:val="hybridMultilevel"/>
    <w:tmpl w:val="FD80C3F6"/>
    <w:lvl w:ilvl="0" w:tplc="E9B66BA2">
      <w:start w:val="1"/>
      <w:numFmt w:val="bullet"/>
      <w:lvlText w:val="−"/>
      <w:lvlJc w:val="left"/>
      <w:pPr>
        <w:ind w:left="927" w:hanging="360"/>
      </w:pPr>
      <w:rPr>
        <w:rFonts w:ascii="Arial" w:eastAsia="Arial" w:hAnsi="Arial" w:hint="default"/>
        <w:b w:val="0"/>
        <w:i w:val="0"/>
        <w:strike w:val="0"/>
        <w:dstrike w:val="0"/>
        <w:color w:val="000000"/>
        <w:sz w:val="24"/>
        <w:szCs w:val="24"/>
        <w:u w:val="none" w:color="000000"/>
        <w:vertAlign w:val="baseline"/>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28A62810"/>
    <w:multiLevelType w:val="hybridMultilevel"/>
    <w:tmpl w:val="5B46EB36"/>
    <w:lvl w:ilvl="0" w:tplc="23D8590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89ED8">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12EB90">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AAF14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7053A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A07DA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C247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16AC1C">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8EE15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B81900"/>
    <w:multiLevelType w:val="hybridMultilevel"/>
    <w:tmpl w:val="A5F65C1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4B3F52"/>
    <w:multiLevelType w:val="hybridMultilevel"/>
    <w:tmpl w:val="E7A415F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4167D8A"/>
    <w:multiLevelType w:val="hybridMultilevel"/>
    <w:tmpl w:val="91B4292C"/>
    <w:lvl w:ilvl="0" w:tplc="F5AA2B4E">
      <w:start w:val="1"/>
      <w:numFmt w:val="lowerLetter"/>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50E08FA"/>
    <w:multiLevelType w:val="hybridMultilevel"/>
    <w:tmpl w:val="AA38CAA8"/>
    <w:lvl w:ilvl="0" w:tplc="5ECE95D6">
      <w:start w:val="1"/>
      <w:numFmt w:val="decimal"/>
      <w:lvlText w:val="%1."/>
      <w:lvlJc w:val="left"/>
      <w:pPr>
        <w:ind w:left="370" w:hanging="360"/>
      </w:pPr>
      <w:rPr>
        <w:rFonts w:hint="default"/>
      </w:rPr>
    </w:lvl>
    <w:lvl w:ilvl="1" w:tplc="041B0019" w:tentative="1">
      <w:start w:val="1"/>
      <w:numFmt w:val="lowerLetter"/>
      <w:lvlText w:val="%2."/>
      <w:lvlJc w:val="left"/>
      <w:pPr>
        <w:ind w:left="1090" w:hanging="360"/>
      </w:pPr>
    </w:lvl>
    <w:lvl w:ilvl="2" w:tplc="041B001B" w:tentative="1">
      <w:start w:val="1"/>
      <w:numFmt w:val="lowerRoman"/>
      <w:lvlText w:val="%3."/>
      <w:lvlJc w:val="right"/>
      <w:pPr>
        <w:ind w:left="1810" w:hanging="180"/>
      </w:pPr>
    </w:lvl>
    <w:lvl w:ilvl="3" w:tplc="041B000F" w:tentative="1">
      <w:start w:val="1"/>
      <w:numFmt w:val="decimal"/>
      <w:lvlText w:val="%4."/>
      <w:lvlJc w:val="left"/>
      <w:pPr>
        <w:ind w:left="2530" w:hanging="360"/>
      </w:pPr>
    </w:lvl>
    <w:lvl w:ilvl="4" w:tplc="041B0019" w:tentative="1">
      <w:start w:val="1"/>
      <w:numFmt w:val="lowerLetter"/>
      <w:lvlText w:val="%5."/>
      <w:lvlJc w:val="left"/>
      <w:pPr>
        <w:ind w:left="3250" w:hanging="360"/>
      </w:pPr>
    </w:lvl>
    <w:lvl w:ilvl="5" w:tplc="041B001B" w:tentative="1">
      <w:start w:val="1"/>
      <w:numFmt w:val="lowerRoman"/>
      <w:lvlText w:val="%6."/>
      <w:lvlJc w:val="right"/>
      <w:pPr>
        <w:ind w:left="3970" w:hanging="180"/>
      </w:pPr>
    </w:lvl>
    <w:lvl w:ilvl="6" w:tplc="041B000F" w:tentative="1">
      <w:start w:val="1"/>
      <w:numFmt w:val="decimal"/>
      <w:lvlText w:val="%7."/>
      <w:lvlJc w:val="left"/>
      <w:pPr>
        <w:ind w:left="4690" w:hanging="360"/>
      </w:pPr>
    </w:lvl>
    <w:lvl w:ilvl="7" w:tplc="041B0019" w:tentative="1">
      <w:start w:val="1"/>
      <w:numFmt w:val="lowerLetter"/>
      <w:lvlText w:val="%8."/>
      <w:lvlJc w:val="left"/>
      <w:pPr>
        <w:ind w:left="5410" w:hanging="360"/>
      </w:pPr>
    </w:lvl>
    <w:lvl w:ilvl="8" w:tplc="041B001B" w:tentative="1">
      <w:start w:val="1"/>
      <w:numFmt w:val="lowerRoman"/>
      <w:lvlText w:val="%9."/>
      <w:lvlJc w:val="right"/>
      <w:pPr>
        <w:ind w:left="6130" w:hanging="180"/>
      </w:pPr>
    </w:lvl>
  </w:abstractNum>
  <w:abstractNum w:abstractNumId="13" w15:restartNumberingAfterBreak="0">
    <w:nsid w:val="368E34EA"/>
    <w:multiLevelType w:val="hybridMultilevel"/>
    <w:tmpl w:val="715E82A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504D5C"/>
    <w:multiLevelType w:val="hybridMultilevel"/>
    <w:tmpl w:val="BC5E0D5A"/>
    <w:lvl w:ilvl="0" w:tplc="A19C510C">
      <w:start w:val="1"/>
      <w:numFmt w:val="bullet"/>
      <w:lvlText w:val="-"/>
      <w:lvlJc w:val="left"/>
      <w:pPr>
        <w:ind w:left="964" w:hanging="360"/>
      </w:pPr>
      <w:rPr>
        <w:rFonts w:ascii="Arial" w:eastAsiaTheme="minorHAnsi" w:hAnsi="Arial" w:cs="Arial" w:hint="default"/>
      </w:rPr>
    </w:lvl>
    <w:lvl w:ilvl="1" w:tplc="041B0003" w:tentative="1">
      <w:start w:val="1"/>
      <w:numFmt w:val="bullet"/>
      <w:lvlText w:val="o"/>
      <w:lvlJc w:val="left"/>
      <w:pPr>
        <w:ind w:left="1684" w:hanging="360"/>
      </w:pPr>
      <w:rPr>
        <w:rFonts w:ascii="Courier New" w:hAnsi="Courier New" w:cs="Courier New" w:hint="default"/>
      </w:rPr>
    </w:lvl>
    <w:lvl w:ilvl="2" w:tplc="041B0005" w:tentative="1">
      <w:start w:val="1"/>
      <w:numFmt w:val="bullet"/>
      <w:lvlText w:val=""/>
      <w:lvlJc w:val="left"/>
      <w:pPr>
        <w:ind w:left="2404" w:hanging="360"/>
      </w:pPr>
      <w:rPr>
        <w:rFonts w:ascii="Wingdings" w:hAnsi="Wingdings" w:hint="default"/>
      </w:rPr>
    </w:lvl>
    <w:lvl w:ilvl="3" w:tplc="041B0001" w:tentative="1">
      <w:start w:val="1"/>
      <w:numFmt w:val="bullet"/>
      <w:lvlText w:val=""/>
      <w:lvlJc w:val="left"/>
      <w:pPr>
        <w:ind w:left="3124" w:hanging="360"/>
      </w:pPr>
      <w:rPr>
        <w:rFonts w:ascii="Symbol" w:hAnsi="Symbol" w:hint="default"/>
      </w:rPr>
    </w:lvl>
    <w:lvl w:ilvl="4" w:tplc="041B0003" w:tentative="1">
      <w:start w:val="1"/>
      <w:numFmt w:val="bullet"/>
      <w:lvlText w:val="o"/>
      <w:lvlJc w:val="left"/>
      <w:pPr>
        <w:ind w:left="3844" w:hanging="360"/>
      </w:pPr>
      <w:rPr>
        <w:rFonts w:ascii="Courier New" w:hAnsi="Courier New" w:cs="Courier New" w:hint="default"/>
      </w:rPr>
    </w:lvl>
    <w:lvl w:ilvl="5" w:tplc="041B0005" w:tentative="1">
      <w:start w:val="1"/>
      <w:numFmt w:val="bullet"/>
      <w:lvlText w:val=""/>
      <w:lvlJc w:val="left"/>
      <w:pPr>
        <w:ind w:left="4564" w:hanging="360"/>
      </w:pPr>
      <w:rPr>
        <w:rFonts w:ascii="Wingdings" w:hAnsi="Wingdings" w:hint="default"/>
      </w:rPr>
    </w:lvl>
    <w:lvl w:ilvl="6" w:tplc="041B0001" w:tentative="1">
      <w:start w:val="1"/>
      <w:numFmt w:val="bullet"/>
      <w:lvlText w:val=""/>
      <w:lvlJc w:val="left"/>
      <w:pPr>
        <w:ind w:left="5284" w:hanging="360"/>
      </w:pPr>
      <w:rPr>
        <w:rFonts w:ascii="Symbol" w:hAnsi="Symbol" w:hint="default"/>
      </w:rPr>
    </w:lvl>
    <w:lvl w:ilvl="7" w:tplc="041B0003" w:tentative="1">
      <w:start w:val="1"/>
      <w:numFmt w:val="bullet"/>
      <w:lvlText w:val="o"/>
      <w:lvlJc w:val="left"/>
      <w:pPr>
        <w:ind w:left="6004" w:hanging="360"/>
      </w:pPr>
      <w:rPr>
        <w:rFonts w:ascii="Courier New" w:hAnsi="Courier New" w:cs="Courier New" w:hint="default"/>
      </w:rPr>
    </w:lvl>
    <w:lvl w:ilvl="8" w:tplc="041B0005" w:tentative="1">
      <w:start w:val="1"/>
      <w:numFmt w:val="bullet"/>
      <w:lvlText w:val=""/>
      <w:lvlJc w:val="left"/>
      <w:pPr>
        <w:ind w:left="6724" w:hanging="360"/>
      </w:pPr>
      <w:rPr>
        <w:rFonts w:ascii="Wingdings" w:hAnsi="Wingdings" w:hint="default"/>
      </w:rPr>
    </w:lvl>
  </w:abstractNum>
  <w:abstractNum w:abstractNumId="15" w15:restartNumberingAfterBreak="0">
    <w:nsid w:val="3CFF3630"/>
    <w:multiLevelType w:val="hybridMultilevel"/>
    <w:tmpl w:val="16F41624"/>
    <w:lvl w:ilvl="0" w:tplc="AC746D28">
      <w:start w:val="1"/>
      <w:numFmt w:val="bullet"/>
      <w:lvlText w:val="–"/>
      <w:lvlJc w:val="left"/>
      <w:pPr>
        <w:ind w:left="2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7A5DB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32EB2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985C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E3FA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2047D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449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65E2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EFC6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8F026B"/>
    <w:multiLevelType w:val="hybridMultilevel"/>
    <w:tmpl w:val="F37C8548"/>
    <w:lvl w:ilvl="0" w:tplc="041B0017">
      <w:start w:val="1"/>
      <w:numFmt w:val="lowerLetter"/>
      <w:lvlText w:val="%1)"/>
      <w:lvlJc w:val="left"/>
      <w:pPr>
        <w:ind w:left="2586" w:hanging="360"/>
      </w:pPr>
    </w:lvl>
    <w:lvl w:ilvl="1" w:tplc="041B0019">
      <w:start w:val="1"/>
      <w:numFmt w:val="lowerLetter"/>
      <w:lvlText w:val="%2."/>
      <w:lvlJc w:val="left"/>
      <w:pPr>
        <w:ind w:left="3306" w:hanging="360"/>
      </w:pPr>
    </w:lvl>
    <w:lvl w:ilvl="2" w:tplc="041B001B">
      <w:start w:val="1"/>
      <w:numFmt w:val="lowerRoman"/>
      <w:lvlText w:val="%3."/>
      <w:lvlJc w:val="right"/>
      <w:pPr>
        <w:ind w:left="4026" w:hanging="180"/>
      </w:pPr>
    </w:lvl>
    <w:lvl w:ilvl="3" w:tplc="041B000F" w:tentative="1">
      <w:start w:val="1"/>
      <w:numFmt w:val="decimal"/>
      <w:lvlText w:val="%4."/>
      <w:lvlJc w:val="left"/>
      <w:pPr>
        <w:ind w:left="4746" w:hanging="360"/>
      </w:pPr>
    </w:lvl>
    <w:lvl w:ilvl="4" w:tplc="041B0019" w:tentative="1">
      <w:start w:val="1"/>
      <w:numFmt w:val="lowerLetter"/>
      <w:lvlText w:val="%5."/>
      <w:lvlJc w:val="left"/>
      <w:pPr>
        <w:ind w:left="5466" w:hanging="360"/>
      </w:pPr>
    </w:lvl>
    <w:lvl w:ilvl="5" w:tplc="041B001B" w:tentative="1">
      <w:start w:val="1"/>
      <w:numFmt w:val="lowerRoman"/>
      <w:lvlText w:val="%6."/>
      <w:lvlJc w:val="right"/>
      <w:pPr>
        <w:ind w:left="6186" w:hanging="180"/>
      </w:pPr>
    </w:lvl>
    <w:lvl w:ilvl="6" w:tplc="041B000F" w:tentative="1">
      <w:start w:val="1"/>
      <w:numFmt w:val="decimal"/>
      <w:lvlText w:val="%7."/>
      <w:lvlJc w:val="left"/>
      <w:pPr>
        <w:ind w:left="6906" w:hanging="360"/>
      </w:pPr>
    </w:lvl>
    <w:lvl w:ilvl="7" w:tplc="041B0019" w:tentative="1">
      <w:start w:val="1"/>
      <w:numFmt w:val="lowerLetter"/>
      <w:lvlText w:val="%8."/>
      <w:lvlJc w:val="left"/>
      <w:pPr>
        <w:ind w:left="7626" w:hanging="360"/>
      </w:pPr>
    </w:lvl>
    <w:lvl w:ilvl="8" w:tplc="041B001B" w:tentative="1">
      <w:start w:val="1"/>
      <w:numFmt w:val="lowerRoman"/>
      <w:lvlText w:val="%9."/>
      <w:lvlJc w:val="right"/>
      <w:pPr>
        <w:ind w:left="8346" w:hanging="180"/>
      </w:pPr>
    </w:lvl>
  </w:abstractNum>
  <w:abstractNum w:abstractNumId="17" w15:restartNumberingAfterBreak="0">
    <w:nsid w:val="43875B06"/>
    <w:multiLevelType w:val="hybridMultilevel"/>
    <w:tmpl w:val="8E442DE2"/>
    <w:lvl w:ilvl="0" w:tplc="BB6A8640">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380EDA">
      <w:start w:val="1"/>
      <w:numFmt w:val="bullet"/>
      <w:lvlText w:val="o"/>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B694">
      <w:start w:val="1"/>
      <w:numFmt w:val="bullet"/>
      <w:lvlText w:val="▪"/>
      <w:lvlJc w:val="left"/>
      <w:pPr>
        <w:ind w:left="1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16194C">
      <w:start w:val="1"/>
      <w:numFmt w:val="bullet"/>
      <w:lvlText w:val="•"/>
      <w:lvlJc w:val="left"/>
      <w:pPr>
        <w:ind w:left="2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0829C">
      <w:start w:val="1"/>
      <w:numFmt w:val="bullet"/>
      <w:lvlText w:val="o"/>
      <w:lvlJc w:val="left"/>
      <w:pPr>
        <w:ind w:left="3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72F0B6">
      <w:start w:val="1"/>
      <w:numFmt w:val="bullet"/>
      <w:lvlText w:val="▪"/>
      <w:lvlJc w:val="left"/>
      <w:pPr>
        <w:ind w:left="4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86A56">
      <w:start w:val="1"/>
      <w:numFmt w:val="bullet"/>
      <w:lvlText w:val="•"/>
      <w:lvlJc w:val="left"/>
      <w:pPr>
        <w:ind w:left="47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4216A">
      <w:start w:val="1"/>
      <w:numFmt w:val="bullet"/>
      <w:lvlText w:val="o"/>
      <w:lvlJc w:val="left"/>
      <w:pPr>
        <w:ind w:left="5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484D2">
      <w:start w:val="1"/>
      <w:numFmt w:val="bullet"/>
      <w:lvlText w:val="▪"/>
      <w:lvlJc w:val="left"/>
      <w:pPr>
        <w:ind w:left="6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6F02B4C"/>
    <w:multiLevelType w:val="hybridMultilevel"/>
    <w:tmpl w:val="688C480C"/>
    <w:lvl w:ilvl="0" w:tplc="A3CE9F80">
      <w:start w:val="1"/>
      <w:numFmt w:val="decimalZero"/>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D545994"/>
    <w:multiLevelType w:val="hybridMultilevel"/>
    <w:tmpl w:val="960CD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223C95"/>
    <w:multiLevelType w:val="hybridMultilevel"/>
    <w:tmpl w:val="AA6EA9D2"/>
    <w:lvl w:ilvl="0" w:tplc="7D803FC4">
      <w:start w:val="1"/>
      <w:numFmt w:val="bullet"/>
      <w:lvlText w:val="‒"/>
      <w:lvlJc w:val="left"/>
      <w:pPr>
        <w:ind w:left="47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C4380EDA">
      <w:start w:val="1"/>
      <w:numFmt w:val="bullet"/>
      <w:lvlText w:val="o"/>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B694">
      <w:start w:val="1"/>
      <w:numFmt w:val="bullet"/>
      <w:lvlText w:val="▪"/>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16194C">
      <w:start w:val="1"/>
      <w:numFmt w:val="bullet"/>
      <w:lvlText w:val="•"/>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0829C">
      <w:start w:val="1"/>
      <w:numFmt w:val="bullet"/>
      <w:lvlText w:val="o"/>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72F0B6">
      <w:start w:val="1"/>
      <w:numFmt w:val="bullet"/>
      <w:lvlText w:val="▪"/>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86A56">
      <w:start w:val="1"/>
      <w:numFmt w:val="bullet"/>
      <w:lvlText w:val="•"/>
      <w:lvlJc w:val="left"/>
      <w:pPr>
        <w:ind w:left="4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4216A">
      <w:start w:val="1"/>
      <w:numFmt w:val="bullet"/>
      <w:lvlText w:val="o"/>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484D2">
      <w:start w:val="1"/>
      <w:numFmt w:val="bullet"/>
      <w:lvlText w:val="▪"/>
      <w:lvlJc w:val="left"/>
      <w:pPr>
        <w:ind w:left="6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65B169E"/>
    <w:multiLevelType w:val="hybridMultilevel"/>
    <w:tmpl w:val="A46A27B4"/>
    <w:lvl w:ilvl="0" w:tplc="E9B66BA2">
      <w:start w:val="1"/>
      <w:numFmt w:val="bullet"/>
      <w:lvlText w:val="−"/>
      <w:lvlJc w:val="left"/>
      <w:pPr>
        <w:ind w:left="806"/>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C4380EDA">
      <w:start w:val="1"/>
      <w:numFmt w:val="bullet"/>
      <w:lvlText w:val="o"/>
      <w:lvlJc w:val="left"/>
      <w:pPr>
        <w:ind w:left="1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B694">
      <w:start w:val="1"/>
      <w:numFmt w:val="bullet"/>
      <w:lvlText w:val="▪"/>
      <w:lvlJc w:val="left"/>
      <w:pPr>
        <w:ind w:left="2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16194C">
      <w:start w:val="1"/>
      <w:numFmt w:val="bullet"/>
      <w:lvlText w:val="•"/>
      <w:lvlJc w:val="left"/>
      <w:pPr>
        <w:ind w:left="3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0829C">
      <w:start w:val="1"/>
      <w:numFmt w:val="bullet"/>
      <w:lvlText w:val="o"/>
      <w:lvlJc w:val="left"/>
      <w:pPr>
        <w:ind w:left="3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72F0B6">
      <w:start w:val="1"/>
      <w:numFmt w:val="bullet"/>
      <w:lvlText w:val="▪"/>
      <w:lvlJc w:val="left"/>
      <w:pPr>
        <w:ind w:left="4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86A56">
      <w:start w:val="1"/>
      <w:numFmt w:val="bullet"/>
      <w:lvlText w:val="•"/>
      <w:lvlJc w:val="left"/>
      <w:pPr>
        <w:ind w:left="5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4216A">
      <w:start w:val="1"/>
      <w:numFmt w:val="bullet"/>
      <w:lvlText w:val="o"/>
      <w:lvlJc w:val="left"/>
      <w:pPr>
        <w:ind w:left="6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484D2">
      <w:start w:val="1"/>
      <w:numFmt w:val="bullet"/>
      <w:lvlText w:val="▪"/>
      <w:lvlJc w:val="left"/>
      <w:pPr>
        <w:ind w:left="6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7C86C0B"/>
    <w:multiLevelType w:val="hybridMultilevel"/>
    <w:tmpl w:val="71D201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7A50CF"/>
    <w:multiLevelType w:val="hybridMultilevel"/>
    <w:tmpl w:val="B2666656"/>
    <w:lvl w:ilvl="0" w:tplc="B6CC52BE">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4" w15:restartNumberingAfterBreak="0">
    <w:nsid w:val="5C6843CB"/>
    <w:multiLevelType w:val="hybridMultilevel"/>
    <w:tmpl w:val="15FA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68252F"/>
    <w:multiLevelType w:val="hybridMultilevel"/>
    <w:tmpl w:val="21729460"/>
    <w:lvl w:ilvl="0" w:tplc="BEB6CC1C">
      <w:start w:val="1"/>
      <w:numFmt w:val="decimal"/>
      <w:lvlText w:val="%1."/>
      <w:lvlJc w:val="left"/>
      <w:pPr>
        <w:ind w:left="360" w:hanging="360"/>
      </w:pPr>
      <w:rPr>
        <w:rFonts w:ascii="Arial" w:hAnsi="Arial" w:cs="Arial" w:hint="default"/>
        <w:b w:val="0"/>
        <w:i w:val="0"/>
        <w:sz w:val="24"/>
        <w:szCs w:val="24"/>
      </w:rPr>
    </w:lvl>
    <w:lvl w:ilvl="1" w:tplc="373A16F6">
      <w:start w:val="1"/>
      <w:numFmt w:val="lowerLetter"/>
      <w:lvlText w:val="%2)"/>
      <w:lvlJc w:val="left"/>
      <w:pPr>
        <w:ind w:left="1080" w:hanging="360"/>
      </w:pPr>
      <w:rPr>
        <w:rFonts w:hint="default"/>
      </w:rPr>
    </w:lvl>
    <w:lvl w:ilvl="2" w:tplc="B52A8C58">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F5B039D"/>
    <w:multiLevelType w:val="hybridMultilevel"/>
    <w:tmpl w:val="8AC63CBC"/>
    <w:lvl w:ilvl="0" w:tplc="58D2EA3E">
      <w:start w:val="17"/>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211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5E92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4A8B23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CA9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5CA82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966F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C40A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7420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34A690D"/>
    <w:multiLevelType w:val="hybridMultilevel"/>
    <w:tmpl w:val="BBAC5054"/>
    <w:lvl w:ilvl="0" w:tplc="E9B66BA2">
      <w:start w:val="1"/>
      <w:numFmt w:val="bullet"/>
      <w:lvlText w:val="−"/>
      <w:lvlJc w:val="left"/>
      <w:pPr>
        <w:ind w:left="762"/>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0D7A5DB2">
      <w:start w:val="1"/>
      <w:numFmt w:val="bullet"/>
      <w:lvlText w:val="o"/>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232EB28">
      <w:start w:val="1"/>
      <w:numFmt w:val="bullet"/>
      <w:lvlText w:val="▪"/>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985C06">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E3FA0">
      <w:start w:val="1"/>
      <w:numFmt w:val="bullet"/>
      <w:lvlText w:val="o"/>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2047D6">
      <w:start w:val="1"/>
      <w:numFmt w:val="bullet"/>
      <w:lvlText w:val="▪"/>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4497E">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C65E20">
      <w:start w:val="1"/>
      <w:numFmt w:val="bullet"/>
      <w:lvlText w:val="o"/>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2EFC68">
      <w:start w:val="1"/>
      <w:numFmt w:val="bullet"/>
      <w:lvlText w:val="▪"/>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252524"/>
    <w:multiLevelType w:val="hybridMultilevel"/>
    <w:tmpl w:val="42E842C4"/>
    <w:lvl w:ilvl="0" w:tplc="EA52ED9E">
      <w:start w:val="8"/>
      <w:numFmt w:val="decimal"/>
      <w:lvlText w:val="%1."/>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5E37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3EB7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C2192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8BC8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9E00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CED6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3CDF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CE960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A60188"/>
    <w:multiLevelType w:val="hybridMultilevel"/>
    <w:tmpl w:val="CA22EE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4647B1"/>
    <w:multiLevelType w:val="hybridMultilevel"/>
    <w:tmpl w:val="C0B2F072"/>
    <w:lvl w:ilvl="0" w:tplc="041B000F">
      <w:start w:val="1"/>
      <w:numFmt w:val="decimal"/>
      <w:lvlText w:val="%1."/>
      <w:lvlJc w:val="left"/>
      <w:pPr>
        <w:ind w:left="360" w:hanging="360"/>
      </w:pPr>
      <w:rPr>
        <w:rFonts w:hint="default"/>
      </w:rPr>
    </w:lvl>
    <w:lvl w:ilvl="1" w:tplc="1264E75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9774BCD"/>
    <w:multiLevelType w:val="hybridMultilevel"/>
    <w:tmpl w:val="799A9E7C"/>
    <w:lvl w:ilvl="0" w:tplc="547C81E6">
      <w:start w:val="1"/>
      <w:numFmt w:val="bullet"/>
      <w:lvlText w:val="–"/>
      <w:lvlJc w:val="left"/>
      <w:pPr>
        <w:ind w:left="478"/>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C4380EDA">
      <w:start w:val="1"/>
      <w:numFmt w:val="bullet"/>
      <w:lvlText w:val="o"/>
      <w:lvlJc w:val="left"/>
      <w:pPr>
        <w:ind w:left="1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4B694">
      <w:start w:val="1"/>
      <w:numFmt w:val="bullet"/>
      <w:lvlText w:val="▪"/>
      <w:lvlJc w:val="left"/>
      <w:pPr>
        <w:ind w:left="2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16194C">
      <w:start w:val="1"/>
      <w:numFmt w:val="bullet"/>
      <w:lvlText w:val="•"/>
      <w:lvlJc w:val="left"/>
      <w:pPr>
        <w:ind w:left="2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0829C">
      <w:start w:val="1"/>
      <w:numFmt w:val="bullet"/>
      <w:lvlText w:val="o"/>
      <w:lvlJc w:val="left"/>
      <w:pPr>
        <w:ind w:left="3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72F0B6">
      <w:start w:val="1"/>
      <w:numFmt w:val="bullet"/>
      <w:lvlText w:val="▪"/>
      <w:lvlJc w:val="left"/>
      <w:pPr>
        <w:ind w:left="4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F86A56">
      <w:start w:val="1"/>
      <w:numFmt w:val="bullet"/>
      <w:lvlText w:val="•"/>
      <w:lvlJc w:val="left"/>
      <w:pPr>
        <w:ind w:left="4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4216A">
      <w:start w:val="1"/>
      <w:numFmt w:val="bullet"/>
      <w:lvlText w:val="o"/>
      <w:lvlJc w:val="left"/>
      <w:pPr>
        <w:ind w:left="56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D484D2">
      <w:start w:val="1"/>
      <w:numFmt w:val="bullet"/>
      <w:lvlText w:val="▪"/>
      <w:lvlJc w:val="left"/>
      <w:pPr>
        <w:ind w:left="6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AE710C"/>
    <w:multiLevelType w:val="hybridMultilevel"/>
    <w:tmpl w:val="5E8C7C30"/>
    <w:lvl w:ilvl="0" w:tplc="041B0017">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3" w15:restartNumberingAfterBreak="0">
    <w:nsid w:val="766B31A4"/>
    <w:multiLevelType w:val="hybridMultilevel"/>
    <w:tmpl w:val="8B362046"/>
    <w:lvl w:ilvl="0" w:tplc="3E604B7E">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9655DB2"/>
    <w:multiLevelType w:val="hybridMultilevel"/>
    <w:tmpl w:val="9AA0893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C401EF"/>
    <w:multiLevelType w:val="hybridMultilevel"/>
    <w:tmpl w:val="BF0CB8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18"/>
  </w:num>
  <w:num w:numId="3">
    <w:abstractNumId w:val="8"/>
  </w:num>
  <w:num w:numId="4">
    <w:abstractNumId w:val="12"/>
  </w:num>
  <w:num w:numId="5">
    <w:abstractNumId w:val="23"/>
  </w:num>
  <w:num w:numId="6">
    <w:abstractNumId w:val="28"/>
  </w:num>
  <w:num w:numId="7">
    <w:abstractNumId w:val="17"/>
  </w:num>
  <w:num w:numId="8">
    <w:abstractNumId w:val="15"/>
  </w:num>
  <w:num w:numId="9">
    <w:abstractNumId w:val="26"/>
  </w:num>
  <w:num w:numId="10">
    <w:abstractNumId w:val="6"/>
  </w:num>
  <w:num w:numId="11">
    <w:abstractNumId w:val="20"/>
  </w:num>
  <w:num w:numId="12">
    <w:abstractNumId w:val="31"/>
  </w:num>
  <w:num w:numId="13">
    <w:abstractNumId w:val="21"/>
  </w:num>
  <w:num w:numId="14">
    <w:abstractNumId w:val="14"/>
  </w:num>
  <w:num w:numId="15">
    <w:abstractNumId w:val="27"/>
  </w:num>
  <w:num w:numId="16">
    <w:abstractNumId w:val="7"/>
  </w:num>
  <w:num w:numId="17">
    <w:abstractNumId w:val="29"/>
  </w:num>
  <w:num w:numId="18">
    <w:abstractNumId w:val="30"/>
  </w:num>
  <w:num w:numId="19">
    <w:abstractNumId w:val="3"/>
  </w:num>
  <w:num w:numId="20">
    <w:abstractNumId w:val="13"/>
  </w:num>
  <w:num w:numId="21">
    <w:abstractNumId w:val="9"/>
  </w:num>
  <w:num w:numId="22">
    <w:abstractNumId w:val="0"/>
  </w:num>
  <w:num w:numId="23">
    <w:abstractNumId w:val="35"/>
  </w:num>
  <w:num w:numId="24">
    <w:abstractNumId w:val="34"/>
  </w:num>
  <w:num w:numId="25">
    <w:abstractNumId w:val="2"/>
  </w:num>
  <w:num w:numId="26">
    <w:abstractNumId w:val="19"/>
  </w:num>
  <w:num w:numId="27">
    <w:abstractNumId w:val="11"/>
  </w:num>
  <w:num w:numId="28">
    <w:abstractNumId w:val="25"/>
  </w:num>
  <w:num w:numId="29">
    <w:abstractNumId w:val="22"/>
  </w:num>
  <w:num w:numId="30">
    <w:abstractNumId w:val="5"/>
  </w:num>
  <w:num w:numId="31">
    <w:abstractNumId w:val="16"/>
  </w:num>
  <w:num w:numId="32">
    <w:abstractNumId w:val="1"/>
  </w:num>
  <w:num w:numId="33">
    <w:abstractNumId w:val="10"/>
  </w:num>
  <w:num w:numId="34">
    <w:abstractNumId w:val="24"/>
  </w:num>
  <w:num w:numId="35">
    <w:abstractNumId w:val="3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31A8D"/>
    <w:rsid w:val="00092B7F"/>
    <w:rsid w:val="000D16AD"/>
    <w:rsid w:val="000D6ED7"/>
    <w:rsid w:val="000D7397"/>
    <w:rsid w:val="001066D1"/>
    <w:rsid w:val="00172829"/>
    <w:rsid w:val="001768F6"/>
    <w:rsid w:val="0021320E"/>
    <w:rsid w:val="00260C80"/>
    <w:rsid w:val="002628D8"/>
    <w:rsid w:val="002D6F9D"/>
    <w:rsid w:val="003656D7"/>
    <w:rsid w:val="003811B5"/>
    <w:rsid w:val="00420154"/>
    <w:rsid w:val="00440C53"/>
    <w:rsid w:val="00441823"/>
    <w:rsid w:val="004B142B"/>
    <w:rsid w:val="005466BB"/>
    <w:rsid w:val="005669BE"/>
    <w:rsid w:val="005D058D"/>
    <w:rsid w:val="00680267"/>
    <w:rsid w:val="00680C33"/>
    <w:rsid w:val="006933CC"/>
    <w:rsid w:val="007066E0"/>
    <w:rsid w:val="00720F11"/>
    <w:rsid w:val="00725233"/>
    <w:rsid w:val="007C45EA"/>
    <w:rsid w:val="0080016E"/>
    <w:rsid w:val="00831FC0"/>
    <w:rsid w:val="008B50C4"/>
    <w:rsid w:val="008D160C"/>
    <w:rsid w:val="009C4617"/>
    <w:rsid w:val="00A12417"/>
    <w:rsid w:val="00A70466"/>
    <w:rsid w:val="00A73A02"/>
    <w:rsid w:val="00A7450B"/>
    <w:rsid w:val="00B117F2"/>
    <w:rsid w:val="00B82F05"/>
    <w:rsid w:val="00BB0E3F"/>
    <w:rsid w:val="00C800E6"/>
    <w:rsid w:val="00C81733"/>
    <w:rsid w:val="00CA019E"/>
    <w:rsid w:val="00CA7395"/>
    <w:rsid w:val="00D0391F"/>
    <w:rsid w:val="00D132A4"/>
    <w:rsid w:val="00D46C3B"/>
    <w:rsid w:val="00D67257"/>
    <w:rsid w:val="00DC1077"/>
    <w:rsid w:val="00E178FC"/>
    <w:rsid w:val="00E87FC1"/>
    <w:rsid w:val="00EC42CD"/>
    <w:rsid w:val="00F04581"/>
    <w:rsid w:val="00F24A06"/>
    <w:rsid w:val="00F4016F"/>
    <w:rsid w:val="00F82428"/>
    <w:rsid w:val="00F90CE8"/>
    <w:rsid w:val="00FA0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B9785A"/>
  <w15:chartTrackingRefBased/>
  <w15:docId w15:val="{80FBDBBD-A100-4D6F-92D5-E4801538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next w:val="Normlny"/>
    <w:link w:val="Nadpis1Char"/>
    <w:uiPriority w:val="9"/>
    <w:unhideWhenUsed/>
    <w:qFormat/>
    <w:rsid w:val="002628D8"/>
    <w:pPr>
      <w:keepNext/>
      <w:keepLines/>
      <w:spacing w:after="0"/>
      <w:ind w:left="10" w:hanging="10"/>
      <w:outlineLvl w:val="0"/>
    </w:pPr>
    <w:rPr>
      <w:rFonts w:ascii="Arial" w:eastAsia="Arial" w:hAnsi="Arial" w:cs="Arial"/>
      <w:b/>
      <w:color w:val="000000"/>
      <w:sz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1Char">
    <w:name w:val="Nadpis 1 Char"/>
    <w:basedOn w:val="Predvolenpsmoodseku"/>
    <w:link w:val="Nadpis1"/>
    <w:uiPriority w:val="9"/>
    <w:rsid w:val="002628D8"/>
    <w:rPr>
      <w:rFonts w:ascii="Arial" w:eastAsia="Arial" w:hAnsi="Arial" w:cs="Arial"/>
      <w:b/>
      <w:color w:val="000000"/>
      <w:sz w:val="32"/>
      <w:lang w:eastAsia="sk-SK"/>
    </w:rPr>
  </w:style>
  <w:style w:type="paragraph" w:customStyle="1" w:styleId="footnotedescription">
    <w:name w:val="footnote description"/>
    <w:next w:val="Normlny"/>
    <w:link w:val="footnotedescriptionChar"/>
    <w:hidden/>
    <w:rsid w:val="002628D8"/>
    <w:pPr>
      <w:spacing w:after="0"/>
    </w:pPr>
    <w:rPr>
      <w:rFonts w:ascii="Arial" w:eastAsia="Arial" w:hAnsi="Arial" w:cs="Arial"/>
      <w:color w:val="000000"/>
      <w:sz w:val="20"/>
      <w:lang w:eastAsia="sk-SK"/>
    </w:rPr>
  </w:style>
  <w:style w:type="character" w:customStyle="1" w:styleId="footnotedescriptionChar">
    <w:name w:val="footnote description Char"/>
    <w:link w:val="footnotedescription"/>
    <w:rsid w:val="002628D8"/>
    <w:rPr>
      <w:rFonts w:ascii="Arial" w:eastAsia="Arial" w:hAnsi="Arial" w:cs="Arial"/>
      <w:color w:val="000000"/>
      <w:sz w:val="20"/>
      <w:lang w:eastAsia="sk-SK"/>
    </w:rPr>
  </w:style>
  <w:style w:type="character" w:customStyle="1" w:styleId="footnotemark">
    <w:name w:val="footnote mark"/>
    <w:hidden/>
    <w:rsid w:val="002628D8"/>
    <w:rPr>
      <w:rFonts w:ascii="Arial" w:eastAsia="Arial" w:hAnsi="Arial" w:cs="Arial"/>
      <w:color w:val="000000"/>
      <w:sz w:val="20"/>
      <w:vertAlign w:val="superscript"/>
    </w:rPr>
  </w:style>
  <w:style w:type="paragraph" w:styleId="Textpoznmkypodiarou">
    <w:name w:val="footnote text"/>
    <w:basedOn w:val="Normlny"/>
    <w:link w:val="TextpoznmkypodiarouChar"/>
    <w:uiPriority w:val="99"/>
    <w:semiHidden/>
    <w:unhideWhenUsed/>
    <w:rsid w:val="002628D8"/>
    <w:pPr>
      <w:spacing w:after="0"/>
      <w:ind w:left="10" w:right="1078" w:hanging="10"/>
      <w:jc w:val="both"/>
    </w:pPr>
    <w:rPr>
      <w:rFonts w:ascii="Arial" w:eastAsia="Arial" w:hAnsi="Arial" w:cs="Arial"/>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2628D8"/>
    <w:rPr>
      <w:rFonts w:ascii="Arial" w:eastAsia="Arial" w:hAnsi="Arial" w:cs="Arial"/>
      <w:color w:val="000000"/>
      <w:sz w:val="20"/>
      <w:szCs w:val="20"/>
      <w:lang w:eastAsia="sk-SK"/>
    </w:rPr>
  </w:style>
  <w:style w:type="character" w:styleId="Odkaznapoznmkupodiarou">
    <w:name w:val="footnote reference"/>
    <w:basedOn w:val="Predvolenpsmoodseku"/>
    <w:uiPriority w:val="99"/>
    <w:semiHidden/>
    <w:unhideWhenUsed/>
    <w:rsid w:val="002628D8"/>
    <w:rPr>
      <w:vertAlign w:val="superscript"/>
    </w:rPr>
  </w:style>
  <w:style w:type="paragraph" w:customStyle="1" w:styleId="Default">
    <w:name w:val="Default"/>
    <w:rsid w:val="003656D7"/>
    <w:pPr>
      <w:autoSpaceDE w:val="0"/>
      <w:autoSpaceDN w:val="0"/>
      <w:adjustRightInd w:val="0"/>
      <w:spacing w:after="0" w:line="240" w:lineRule="auto"/>
    </w:pPr>
    <w:rPr>
      <w:rFonts w:ascii="Arimo" w:hAnsi="Arimo" w:cs="Arimo"/>
      <w:color w:val="000000"/>
      <w:sz w:val="24"/>
      <w:szCs w:val="24"/>
    </w:rPr>
  </w:style>
  <w:style w:type="character" w:styleId="Odkaznakomentr">
    <w:name w:val="annotation reference"/>
    <w:basedOn w:val="Predvolenpsmoodseku"/>
    <w:uiPriority w:val="99"/>
    <w:semiHidden/>
    <w:unhideWhenUsed/>
    <w:rsid w:val="003656D7"/>
    <w:rPr>
      <w:sz w:val="16"/>
      <w:szCs w:val="16"/>
    </w:rPr>
  </w:style>
  <w:style w:type="paragraph" w:styleId="Textkomentra">
    <w:name w:val="annotation text"/>
    <w:aliases w:val="Char"/>
    <w:basedOn w:val="Normlny"/>
    <w:link w:val="TextkomentraChar"/>
    <w:uiPriority w:val="99"/>
    <w:unhideWhenUsed/>
    <w:rsid w:val="007C45EA"/>
    <w:rPr>
      <w:rFonts w:asciiTheme="minorHAnsi" w:hAnsiTheme="minorHAnsi"/>
      <w:sz w:val="20"/>
      <w:szCs w:val="20"/>
    </w:rPr>
  </w:style>
  <w:style w:type="character" w:customStyle="1" w:styleId="TextkomentraChar">
    <w:name w:val="Text komentára Char"/>
    <w:aliases w:val="Char Char"/>
    <w:basedOn w:val="Predvolenpsmoodseku"/>
    <w:link w:val="Textkomentra"/>
    <w:uiPriority w:val="99"/>
    <w:rsid w:val="007C45EA"/>
    <w:rPr>
      <w:sz w:val="20"/>
      <w:szCs w:val="2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7066E0"/>
    <w:rPr>
      <w:rFonts w:ascii="Calibri" w:hAnsi="Calibri"/>
    </w:rPr>
  </w:style>
  <w:style w:type="character" w:styleId="Hypertextovprepojenie">
    <w:name w:val="Hyperlink"/>
    <w:basedOn w:val="Predvolenpsmoodseku"/>
    <w:uiPriority w:val="99"/>
    <w:unhideWhenUsed/>
    <w:rsid w:val="00E87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ntimon.gov.sk/data/files/1203_usmernenie-o-prednotifikacnych-kontaktoch-v-procese-posudzovania-koncentracii.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463A-471C-404A-ABB1-5683908C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2609</Words>
  <Characters>14875</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Oľšavská</dc:creator>
  <cp:keywords/>
  <dc:description/>
  <cp:lastModifiedBy>uzivatel</cp:lastModifiedBy>
  <cp:revision>2</cp:revision>
  <cp:lastPrinted>2017-02-08T10:40:00Z</cp:lastPrinted>
  <dcterms:created xsi:type="dcterms:W3CDTF">2021-12-21T14:45:00Z</dcterms:created>
  <dcterms:modified xsi:type="dcterms:W3CDTF">2021-12-21T14:45:00Z</dcterms:modified>
</cp:coreProperties>
</file>