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6"/>
      </w:tblGrid>
      <w:tr w:rsidR="0060775D" w:rsidRPr="00D469E4" w14:paraId="644C170A" w14:textId="77777777" w:rsidTr="00FB7619">
        <w:trPr>
          <w:jc w:val="center"/>
        </w:trPr>
        <w:tc>
          <w:tcPr>
            <w:tcW w:w="8966" w:type="dxa"/>
            <w:shd w:val="pct15" w:color="auto" w:fill="FFFFFF"/>
          </w:tcPr>
          <w:p w14:paraId="24306F3E" w14:textId="77777777" w:rsidR="00D469E4" w:rsidRDefault="0060775D" w:rsidP="0060775D">
            <w:pPr>
              <w:pBdr>
                <w:top w:val="single" w:sz="4" w:space="1" w:color="auto"/>
                <w:left w:val="single" w:sz="4" w:space="23" w:color="auto"/>
                <w:bottom w:val="single" w:sz="4" w:space="1" w:color="auto"/>
                <w:right w:val="single" w:sz="4" w:space="4" w:color="auto"/>
              </w:pBd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hAnsi="Times New Roman"/>
                <w:b/>
                <w:smallCaps/>
                <w:sz w:val="32"/>
              </w:rPr>
            </w:pPr>
            <w:r w:rsidRPr="00D469E4">
              <w:rPr>
                <w:rFonts w:ascii="Times New Roman" w:hAnsi="Times New Roman"/>
                <w:b/>
                <w:smallCaps/>
                <w:sz w:val="32"/>
              </w:rPr>
              <w:t>1.1.1.3</w:t>
            </w:r>
            <w:r w:rsidR="00D469E4">
              <w:rPr>
                <w:rFonts w:ascii="Times New Roman" w:hAnsi="Times New Roman"/>
                <w:b/>
                <w:smallCaps/>
                <w:sz w:val="32"/>
              </w:rPr>
              <w:t>.</w:t>
            </w:r>
          </w:p>
          <w:p w14:paraId="476E0F41" w14:textId="6DCFC83C" w:rsidR="0060775D" w:rsidRPr="00D469E4" w:rsidRDefault="0060775D" w:rsidP="00384AAE">
            <w:pPr>
              <w:pBdr>
                <w:top w:val="single" w:sz="4" w:space="1" w:color="auto"/>
                <w:left w:val="single" w:sz="4" w:space="23" w:color="auto"/>
                <w:bottom w:val="single" w:sz="4" w:space="1" w:color="auto"/>
                <w:right w:val="single" w:sz="4" w:space="4" w:color="auto"/>
              </w:pBdr>
              <w:shd w:val="pct20" w:color="auto" w:fill="FFFFFF"/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469E4">
              <w:rPr>
                <w:rFonts w:ascii="Times New Roman" w:hAnsi="Times New Roman"/>
                <w:b/>
                <w:smallCaps/>
                <w:sz w:val="32"/>
              </w:rPr>
              <w:t>Formulár doplňujúcich informácií</w:t>
            </w:r>
            <w:r w:rsidR="00D469E4">
              <w:rPr>
                <w:rFonts w:ascii="Times New Roman" w:hAnsi="Times New Roman"/>
                <w:b/>
                <w:smallCaps/>
                <w:sz w:val="32"/>
              </w:rPr>
              <w:t xml:space="preserve"> o </w:t>
            </w:r>
            <w:r w:rsidRPr="00D469E4">
              <w:rPr>
                <w:rFonts w:ascii="Times New Roman" w:hAnsi="Times New Roman"/>
                <w:b/>
                <w:smallCaps/>
                <w:sz w:val="32"/>
              </w:rPr>
              <w:t>pomoci na investície</w:t>
            </w:r>
            <w:r w:rsidR="00D469E4">
              <w:rPr>
                <w:rFonts w:ascii="Times New Roman" w:hAnsi="Times New Roman"/>
                <w:b/>
                <w:smallCaps/>
                <w:sz w:val="32"/>
              </w:rPr>
              <w:t xml:space="preserve"> v </w:t>
            </w:r>
            <w:r w:rsidRPr="00D469E4">
              <w:rPr>
                <w:rFonts w:ascii="Times New Roman" w:hAnsi="Times New Roman"/>
                <w:b/>
                <w:smallCaps/>
                <w:sz w:val="32"/>
              </w:rPr>
              <w:t>súvislosti so spracovaním poľnohospodárskych výrobkov alebo ich marketingom</w:t>
            </w:r>
          </w:p>
        </w:tc>
      </w:tr>
    </w:tbl>
    <w:p w14:paraId="561CC016" w14:textId="77777777" w:rsidR="0060775D" w:rsidRPr="00D469E4" w:rsidRDefault="0060775D" w:rsidP="0060775D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01E396" w14:textId="3399FA0F" w:rsidR="0060775D" w:rsidRPr="00D469E4" w:rsidRDefault="0060775D" w:rsidP="0060775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469E4">
        <w:rPr>
          <w:rFonts w:ascii="Times New Roman" w:hAnsi="Times New Roman"/>
          <w:i/>
          <w:sz w:val="24"/>
        </w:rPr>
        <w:t>Tento formulár sa vzťahuje na štátnu pomoc na investície</w:t>
      </w:r>
      <w:r w:rsidR="00D469E4">
        <w:rPr>
          <w:rFonts w:ascii="Times New Roman" w:hAnsi="Times New Roman"/>
          <w:i/>
          <w:sz w:val="24"/>
        </w:rPr>
        <w:t xml:space="preserve"> v </w:t>
      </w:r>
      <w:r w:rsidRPr="00D469E4">
        <w:rPr>
          <w:rFonts w:ascii="Times New Roman" w:hAnsi="Times New Roman"/>
          <w:i/>
          <w:sz w:val="24"/>
        </w:rPr>
        <w:t>súvislosti so spracovaním poľnohospodárskych výrobkov alebo ich marketingom, ako sa uvádza</w:t>
      </w:r>
      <w:r w:rsidR="00D469E4">
        <w:rPr>
          <w:rFonts w:ascii="Times New Roman" w:hAnsi="Times New Roman"/>
          <w:i/>
          <w:sz w:val="24"/>
        </w:rPr>
        <w:t xml:space="preserve"> v </w:t>
      </w:r>
      <w:r w:rsidRPr="00D469E4">
        <w:rPr>
          <w:rFonts w:ascii="Times New Roman" w:hAnsi="Times New Roman"/>
          <w:i/>
          <w:sz w:val="24"/>
        </w:rPr>
        <w:t>časti II oddiele 1.1.1.3 Usmernení Európskej únie</w:t>
      </w:r>
      <w:r w:rsidR="00D469E4">
        <w:rPr>
          <w:rFonts w:ascii="Times New Roman" w:hAnsi="Times New Roman"/>
          <w:i/>
          <w:sz w:val="24"/>
        </w:rPr>
        <w:t xml:space="preserve"> o </w:t>
      </w:r>
      <w:r w:rsidRPr="00D469E4">
        <w:rPr>
          <w:rFonts w:ascii="Times New Roman" w:hAnsi="Times New Roman"/>
          <w:i/>
          <w:sz w:val="24"/>
        </w:rPr>
        <w:t>štátnej pomoci</w:t>
      </w:r>
      <w:r w:rsidR="00D469E4">
        <w:rPr>
          <w:rFonts w:ascii="Times New Roman" w:hAnsi="Times New Roman"/>
          <w:i/>
          <w:sz w:val="24"/>
        </w:rPr>
        <w:t xml:space="preserve"> v </w:t>
      </w:r>
      <w:r w:rsidRPr="00D469E4">
        <w:rPr>
          <w:rFonts w:ascii="Times New Roman" w:hAnsi="Times New Roman"/>
          <w:i/>
          <w:sz w:val="24"/>
        </w:rPr>
        <w:t>odvetviach poľnohospodárstva</w:t>
      </w:r>
      <w:r w:rsidR="00D469E4">
        <w:rPr>
          <w:rFonts w:ascii="Times New Roman" w:hAnsi="Times New Roman"/>
          <w:i/>
          <w:sz w:val="24"/>
        </w:rPr>
        <w:t xml:space="preserve"> a </w:t>
      </w:r>
      <w:r w:rsidRPr="00D469E4">
        <w:rPr>
          <w:rFonts w:ascii="Times New Roman" w:hAnsi="Times New Roman"/>
          <w:i/>
          <w:sz w:val="24"/>
        </w:rPr>
        <w:t>lesného hospodárstva</w:t>
      </w:r>
      <w:r w:rsidR="00D469E4">
        <w:rPr>
          <w:rFonts w:ascii="Times New Roman" w:hAnsi="Times New Roman"/>
          <w:i/>
          <w:sz w:val="24"/>
        </w:rPr>
        <w:t xml:space="preserve"> a </w:t>
      </w:r>
      <w:r w:rsidRPr="00D469E4">
        <w:rPr>
          <w:rFonts w:ascii="Times New Roman" w:hAnsi="Times New Roman"/>
          <w:i/>
          <w:sz w:val="24"/>
        </w:rPr>
        <w:t>vo vidieckych oblastiach (ďalej len „usmernenia“).</w:t>
      </w:r>
    </w:p>
    <w:p w14:paraId="6B84B1EE" w14:textId="77777777" w:rsidR="00AF0120" w:rsidRPr="00D469E4" w:rsidRDefault="00AF0120" w:rsidP="0060775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CAAD964" w14:textId="5974750A" w:rsidR="00AF0120" w:rsidRPr="00D469E4" w:rsidRDefault="00AF0120" w:rsidP="0060775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469E4">
        <w:rPr>
          <w:rFonts w:ascii="Times New Roman" w:hAnsi="Times New Roman"/>
          <w:i/>
          <w:sz w:val="24"/>
        </w:rPr>
        <w:t>Okrem tohto formulára vyplňte</w:t>
      </w:r>
      <w:r w:rsidR="00D469E4">
        <w:rPr>
          <w:rFonts w:ascii="Times New Roman" w:hAnsi="Times New Roman"/>
          <w:i/>
          <w:sz w:val="24"/>
        </w:rPr>
        <w:t xml:space="preserve"> v </w:t>
      </w:r>
      <w:r w:rsidRPr="00D469E4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D469E4">
        <w:rPr>
          <w:rFonts w:ascii="Times New Roman" w:hAnsi="Times New Roman"/>
          <w:i/>
          <w:sz w:val="24"/>
        </w:rPr>
        <w:t xml:space="preserve"> v </w:t>
      </w:r>
      <w:r w:rsidRPr="00D469E4">
        <w:rPr>
          <w:rFonts w:ascii="Times New Roman" w:hAnsi="Times New Roman"/>
          <w:i/>
          <w:sz w:val="24"/>
        </w:rPr>
        <w:t>odvetví poľnohospodárstva</w:t>
      </w:r>
      <w:r w:rsidR="00D469E4">
        <w:rPr>
          <w:rFonts w:ascii="Times New Roman" w:hAnsi="Times New Roman"/>
          <w:i/>
          <w:sz w:val="24"/>
        </w:rPr>
        <w:t xml:space="preserve"> a </w:t>
      </w:r>
      <w:r w:rsidRPr="00D469E4">
        <w:rPr>
          <w:rFonts w:ascii="Times New Roman" w:hAnsi="Times New Roman"/>
          <w:i/>
          <w:sz w:val="24"/>
        </w:rPr>
        <w:t>lesného hospodárstva</w:t>
      </w:r>
      <w:r w:rsidR="00D469E4">
        <w:rPr>
          <w:rFonts w:ascii="Times New Roman" w:hAnsi="Times New Roman"/>
          <w:i/>
          <w:sz w:val="24"/>
        </w:rPr>
        <w:t xml:space="preserve"> a </w:t>
      </w:r>
      <w:r w:rsidRPr="00D469E4">
        <w:rPr>
          <w:rFonts w:ascii="Times New Roman" w:hAnsi="Times New Roman"/>
          <w:i/>
          <w:sz w:val="24"/>
        </w:rPr>
        <w:t>vo vidieckych oblastiach.</w:t>
      </w:r>
    </w:p>
    <w:p w14:paraId="2162BAC1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A34764" w14:textId="5039542A" w:rsidR="0060775D" w:rsidRPr="00D469E4" w:rsidRDefault="0060775D" w:rsidP="0060775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Budú investície, na ktoré je pomoc zameraná,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súlade so zákazmi</w:t>
      </w:r>
      <w:r w:rsidR="00D469E4">
        <w:rPr>
          <w:rFonts w:ascii="Times New Roman" w:hAnsi="Times New Roman"/>
          <w:sz w:val="24"/>
        </w:rPr>
        <w:t xml:space="preserve"> a s </w:t>
      </w:r>
      <w:r w:rsidRPr="00D469E4">
        <w:rPr>
          <w:rFonts w:ascii="Times New Roman" w:hAnsi="Times New Roman"/>
          <w:sz w:val="24"/>
        </w:rPr>
        <w:t>obmedzeniami stanovenými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nariadení (EÚ) č. 1308/2013</w:t>
      </w:r>
      <w:r w:rsidRPr="00D469E4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1"/>
      </w:r>
      <w:r w:rsidRPr="00D469E4">
        <w:rPr>
          <w:rFonts w:ascii="Times New Roman" w:hAnsi="Times New Roman"/>
          <w:sz w:val="24"/>
        </w:rPr>
        <w:t>, aj keď sa tieto zákazy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obmedzenia vzťahujú iba na podporu Únie stanovenú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uvedenom nariadení?</w:t>
      </w:r>
    </w:p>
    <w:p w14:paraId="09F6B9E6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46559D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áno</w:t>
      </w:r>
      <w:r w:rsidRPr="00D469E4">
        <w:tab/>
      </w:r>
      <w:r w:rsidRPr="00D469E4">
        <w:tab/>
      </w:r>
      <w:r w:rsidRPr="00D469E4">
        <w:tab/>
      </w: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nie</w:t>
      </w:r>
    </w:p>
    <w:p w14:paraId="7A4F568D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B85C5A" w14:textId="481C0CA1" w:rsidR="0060775D" w:rsidRPr="00D469E4" w:rsidRDefault="0060775D" w:rsidP="0060775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Poskytuje sa pomoc na biopalivá na báze potravín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kŕmnych plodín?</w:t>
      </w:r>
    </w:p>
    <w:p w14:paraId="4BBBCFB9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1CBCAD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áno</w:t>
      </w:r>
      <w:r w:rsidRPr="00D469E4">
        <w:tab/>
      </w:r>
      <w:r w:rsidRPr="00D469E4">
        <w:tab/>
      </w:r>
      <w:r w:rsidRPr="00D469E4">
        <w:tab/>
      </w: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nie</w:t>
      </w:r>
    </w:p>
    <w:p w14:paraId="0C7F3C33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35340B" w14:textId="3A88B192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Ak ste odpovedali áno, upozorňujeme vás, že uvedenú pomoc nemožno vyhlásiť za zlučiteľnú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vnútorným trhom vzhľadom na cieľ, ktorým je stimulovať prechod na výrobu vyspelejších foriem biopalív, ako sa stanovuje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Usmerneniach</w:t>
      </w:r>
      <w:r w:rsidR="00D469E4">
        <w:rPr>
          <w:rFonts w:ascii="Times New Roman" w:hAnsi="Times New Roman"/>
          <w:sz w:val="24"/>
        </w:rPr>
        <w:t xml:space="preserve"> o </w:t>
      </w:r>
      <w:r w:rsidRPr="00D469E4">
        <w:rPr>
          <w:rFonts w:ascii="Times New Roman" w:hAnsi="Times New Roman"/>
          <w:sz w:val="24"/>
        </w:rPr>
        <w:t>štátnej pomoci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oblasti klímy, ochrany životného prostredia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energetiky na rok 2022.</w:t>
      </w:r>
    </w:p>
    <w:p w14:paraId="7C1A305B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C4EB94" w14:textId="77777777" w:rsidR="00D469E4" w:rsidRDefault="0060775D" w:rsidP="0060775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D469E4">
        <w:rPr>
          <w:rFonts w:ascii="Times New Roman" w:hAnsi="Times New Roman"/>
          <w:sz w:val="24"/>
        </w:rPr>
        <w:t>Poskytuje sa pomoc týkajúca sa investícií do hmotného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nehmotného majetku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súvislosti so spracovaním poľnohospodárskych výrobkov alebo ich marketingom, ako sa uvádza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bode 33 ods. 47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38 usmernení?</w:t>
      </w:r>
    </w:p>
    <w:p w14:paraId="7DF5C315" w14:textId="7697B9EF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4A0359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áno</w:t>
      </w:r>
      <w:r w:rsidRPr="00D469E4">
        <w:tab/>
      </w:r>
      <w:r w:rsidRPr="00D469E4">
        <w:tab/>
      </w:r>
      <w:r w:rsidRPr="00D469E4">
        <w:tab/>
      </w: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nie</w:t>
      </w:r>
    </w:p>
    <w:p w14:paraId="2A6F5DF3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40D58" w14:textId="0E6542E1" w:rsidR="0060775D" w:rsidRPr="00D469E4" w:rsidRDefault="0060775D" w:rsidP="0060775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Členské štáty môžu poskytnúť pomoc na investície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súvislosti so spracovaním poľnohospodárskych výrobkov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ich marketingom, ak pomoc spĺňa všetky podmienky jedného</w:t>
      </w:r>
      <w:r w:rsidR="00D469E4">
        <w:rPr>
          <w:rFonts w:ascii="Times New Roman" w:hAnsi="Times New Roman"/>
          <w:sz w:val="24"/>
        </w:rPr>
        <w:t xml:space="preserve"> z </w:t>
      </w:r>
      <w:r w:rsidRPr="00D469E4">
        <w:rPr>
          <w:rFonts w:ascii="Times New Roman" w:hAnsi="Times New Roman"/>
          <w:sz w:val="24"/>
        </w:rPr>
        <w:t>týchto nástrojov pomoci. Uveďte, podľa ustanovení ktorého</w:t>
      </w:r>
      <w:r w:rsidR="00D469E4">
        <w:rPr>
          <w:rFonts w:ascii="Times New Roman" w:hAnsi="Times New Roman"/>
          <w:sz w:val="24"/>
        </w:rPr>
        <w:t xml:space="preserve"> z </w:t>
      </w:r>
      <w:r w:rsidRPr="00D469E4">
        <w:rPr>
          <w:rFonts w:ascii="Times New Roman" w:hAnsi="Times New Roman"/>
          <w:sz w:val="24"/>
        </w:rPr>
        <w:t>uvedených nástrojov pomoci sa daná pomoc poskytuje:</w:t>
      </w:r>
    </w:p>
    <w:p w14:paraId="3830A92F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73D1A" w14:textId="037CAE04" w:rsidR="0060775D" w:rsidRPr="00D469E4" w:rsidRDefault="0060775D" w:rsidP="0060775D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nariadenie Komisie (EÚ) č. 651/2014 (všeobecné nariadenie</w:t>
      </w:r>
      <w:r w:rsidR="00D469E4">
        <w:rPr>
          <w:rFonts w:ascii="Times New Roman" w:hAnsi="Times New Roman"/>
          <w:sz w:val="24"/>
        </w:rPr>
        <w:t xml:space="preserve"> o </w:t>
      </w:r>
      <w:r w:rsidRPr="00D469E4">
        <w:rPr>
          <w:rFonts w:ascii="Times New Roman" w:hAnsi="Times New Roman"/>
          <w:sz w:val="24"/>
        </w:rPr>
        <w:t>skupinových výnimkách)</w:t>
      </w:r>
      <w:r w:rsidRPr="00D469E4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2"/>
      </w:r>
    </w:p>
    <w:p w14:paraId="5E8E5A04" w14:textId="77777777" w:rsidR="00D469E4" w:rsidRDefault="00D469E4" w:rsidP="0060775D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</w:rPr>
      </w:pPr>
    </w:p>
    <w:p w14:paraId="63FC9C4C" w14:textId="029F4209" w:rsidR="0060775D" w:rsidRPr="00D469E4" w:rsidRDefault="0060775D" w:rsidP="0060775D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usmernenia</w:t>
      </w:r>
      <w:r w:rsidR="00D469E4">
        <w:rPr>
          <w:rFonts w:ascii="Times New Roman" w:hAnsi="Times New Roman"/>
          <w:sz w:val="24"/>
        </w:rPr>
        <w:t xml:space="preserve"> o </w:t>
      </w:r>
      <w:r w:rsidRPr="00D469E4">
        <w:rPr>
          <w:rFonts w:ascii="Times New Roman" w:hAnsi="Times New Roman"/>
          <w:sz w:val="24"/>
        </w:rPr>
        <w:t>regionálnej štátnej pomoci</w:t>
      </w:r>
      <w:r w:rsidRPr="00D469E4">
        <w:rPr>
          <w:rFonts w:ascii="Times New Roman" w:eastAsia="Times New Roman" w:hAnsi="Times New Roman"/>
          <w:bCs/>
          <w:sz w:val="24"/>
          <w:szCs w:val="24"/>
          <w:vertAlign w:val="superscript"/>
          <w:lang w:eastAsia="en-GB"/>
        </w:rPr>
        <w:footnoteReference w:id="3"/>
      </w:r>
    </w:p>
    <w:p w14:paraId="6D04EA7F" w14:textId="77777777" w:rsidR="0060775D" w:rsidRPr="00D469E4" w:rsidRDefault="0060775D" w:rsidP="0060775D">
      <w:p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4F0A3" w14:textId="02225082" w:rsidR="0060775D" w:rsidRPr="00D469E4" w:rsidRDefault="0060775D" w:rsidP="0060775D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podmienky uvedené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časti II oddiele 1.1.1.3 usmernení</w:t>
      </w:r>
    </w:p>
    <w:p w14:paraId="02B089A4" w14:textId="77777777" w:rsidR="0060775D" w:rsidRPr="00D469E4" w:rsidRDefault="0060775D" w:rsidP="0060775D">
      <w:p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9D05C2" w14:textId="2DE06BB4" w:rsidR="0060775D" w:rsidRPr="00D469E4" w:rsidRDefault="0060775D" w:rsidP="00035E3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5.</w:t>
      </w:r>
      <w:r w:rsidRPr="00D469E4">
        <w:tab/>
      </w:r>
      <w:r w:rsidRPr="00D469E4">
        <w:rPr>
          <w:rFonts w:ascii="Times New Roman" w:hAnsi="Times New Roman"/>
          <w:sz w:val="24"/>
        </w:rPr>
        <w:t>Ak sa pomoc poskytuje podľa ustanovení všeobecného nariadenia</w:t>
      </w:r>
      <w:r w:rsidR="00D469E4">
        <w:rPr>
          <w:rFonts w:ascii="Times New Roman" w:hAnsi="Times New Roman"/>
          <w:sz w:val="24"/>
        </w:rPr>
        <w:t xml:space="preserve"> o </w:t>
      </w:r>
      <w:r w:rsidRPr="00D469E4">
        <w:rPr>
          <w:rFonts w:ascii="Times New Roman" w:hAnsi="Times New Roman"/>
          <w:sz w:val="24"/>
        </w:rPr>
        <w:t>skupinových výnimkách, vyplňte príslušnú časť všeobecného notifikačného formulára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časti I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osobitný formulár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časti III prílohy I</w:t>
      </w:r>
      <w:r w:rsidR="00D469E4">
        <w:rPr>
          <w:rFonts w:ascii="Times New Roman" w:hAnsi="Times New Roman"/>
          <w:sz w:val="24"/>
        </w:rPr>
        <w:t xml:space="preserve"> k </w:t>
      </w:r>
      <w:r w:rsidRPr="00D469E4">
        <w:rPr>
          <w:rFonts w:ascii="Times New Roman" w:hAnsi="Times New Roman"/>
          <w:sz w:val="24"/>
        </w:rPr>
        <w:t>nariadeniu (ES) č. 794/2004</w:t>
      </w:r>
      <w:r w:rsidRPr="00D469E4">
        <w:rPr>
          <w:rFonts w:ascii="Times New Roman" w:eastAsia="Times New Roman" w:hAnsi="Times New Roman"/>
          <w:sz w:val="24"/>
          <w:szCs w:val="24"/>
          <w:vertAlign w:val="superscript"/>
          <w:lang w:eastAsia="en-GB"/>
        </w:rPr>
        <w:footnoteReference w:id="4"/>
      </w:r>
      <w:r w:rsidRPr="00D469E4">
        <w:rPr>
          <w:rFonts w:ascii="Times New Roman" w:hAnsi="Times New Roman"/>
          <w:sz w:val="24"/>
        </w:rPr>
        <w:t xml:space="preserve"> alebo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akomkoľvek ustanovení, ktoré ju nahrádza.</w:t>
      </w:r>
    </w:p>
    <w:p w14:paraId="27F2D1A0" w14:textId="77777777" w:rsidR="00035E36" w:rsidRPr="00D469E4" w:rsidRDefault="00035E36" w:rsidP="0060775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60B20E" w14:textId="77777777" w:rsidR="00F633F3" w:rsidRPr="00D469E4" w:rsidRDefault="00035E36" w:rsidP="0060775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Vysvetlite, prečo chce príslušný orgán aj napriek tomu podať notifikáciu na základe usmernení.</w:t>
      </w:r>
    </w:p>
    <w:p w14:paraId="7D9B8F22" w14:textId="77777777" w:rsidR="00F633F3" w:rsidRPr="00D469E4" w:rsidRDefault="00F633F3" w:rsidP="0060775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53CF1991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4A039" w14:textId="6E2E603E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6.</w:t>
      </w:r>
      <w:r w:rsidRPr="00D469E4">
        <w:tab/>
      </w:r>
      <w:r w:rsidRPr="00D469E4">
        <w:rPr>
          <w:rFonts w:ascii="Times New Roman" w:hAnsi="Times New Roman"/>
          <w:sz w:val="24"/>
        </w:rPr>
        <w:t>Ak sa pomoc poskytuje podľa ustanovení Usmernení</w:t>
      </w:r>
      <w:r w:rsidR="00D469E4">
        <w:rPr>
          <w:rFonts w:ascii="Times New Roman" w:hAnsi="Times New Roman"/>
          <w:sz w:val="24"/>
        </w:rPr>
        <w:t xml:space="preserve"> o </w:t>
      </w:r>
      <w:r w:rsidRPr="00D469E4">
        <w:rPr>
          <w:rFonts w:ascii="Times New Roman" w:hAnsi="Times New Roman"/>
          <w:sz w:val="24"/>
        </w:rPr>
        <w:t>regionálnej štátnej pomoci:</w:t>
      </w:r>
    </w:p>
    <w:p w14:paraId="71538EA9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94CF13" w14:textId="46B13731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Spĺňa pomoc podmienky uvedené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Usmerneniach</w:t>
      </w:r>
      <w:r w:rsidR="00D469E4">
        <w:rPr>
          <w:rFonts w:ascii="Times New Roman" w:hAnsi="Times New Roman"/>
          <w:sz w:val="24"/>
        </w:rPr>
        <w:t xml:space="preserve"> o </w:t>
      </w:r>
      <w:r w:rsidRPr="00D469E4">
        <w:rPr>
          <w:rFonts w:ascii="Times New Roman" w:hAnsi="Times New Roman"/>
          <w:sz w:val="24"/>
        </w:rPr>
        <w:t>regionálnej štátnej pomoci?</w:t>
      </w:r>
    </w:p>
    <w:p w14:paraId="40D8D21C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015D94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áno</w:t>
      </w:r>
      <w:r w:rsidRPr="00D469E4">
        <w:tab/>
      </w:r>
      <w:r w:rsidRPr="00D469E4">
        <w:tab/>
      </w:r>
      <w:r w:rsidRPr="00D469E4">
        <w:tab/>
      </w: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nie</w:t>
      </w:r>
    </w:p>
    <w:p w14:paraId="246FD5B4" w14:textId="77777777" w:rsidR="0060775D" w:rsidRPr="00D469E4" w:rsidRDefault="0060775D" w:rsidP="0060775D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132F" w14:textId="68B0EE85" w:rsidR="0060775D" w:rsidRPr="00D469E4" w:rsidRDefault="00242CEE" w:rsidP="0060775D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469E4">
        <w:rPr>
          <w:rFonts w:ascii="Times New Roman" w:hAnsi="Times New Roman"/>
          <w:sz w:val="24"/>
        </w:rPr>
        <w:t>Upozorňujeme vás, že takáto pomoc sa musí posúdiť na základe Usmernení</w:t>
      </w:r>
      <w:r w:rsidR="00D469E4">
        <w:rPr>
          <w:rFonts w:ascii="Times New Roman" w:hAnsi="Times New Roman"/>
          <w:sz w:val="24"/>
        </w:rPr>
        <w:t xml:space="preserve"> o </w:t>
      </w:r>
      <w:r w:rsidRPr="00D469E4">
        <w:rPr>
          <w:rFonts w:ascii="Times New Roman" w:hAnsi="Times New Roman"/>
          <w:sz w:val="24"/>
        </w:rPr>
        <w:t>regionálnej štátnej pomoci. Vyplňte príslušnú časť všeobecného notifikačného formulára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časti I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osobitný formulár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časti III prílohy I</w:t>
      </w:r>
      <w:r w:rsidR="00D469E4">
        <w:rPr>
          <w:rFonts w:ascii="Times New Roman" w:hAnsi="Times New Roman"/>
          <w:sz w:val="24"/>
        </w:rPr>
        <w:t xml:space="preserve"> k </w:t>
      </w:r>
      <w:r w:rsidRPr="00D469E4">
        <w:rPr>
          <w:rFonts w:ascii="Times New Roman" w:hAnsi="Times New Roman"/>
          <w:sz w:val="24"/>
        </w:rPr>
        <w:t>nariadeniu (ES) č. 794/2004 zmenenému nariadením Komisie (ES) č. 1627/2006</w:t>
      </w:r>
      <w:r w:rsidRPr="00D469E4">
        <w:rPr>
          <w:rFonts w:ascii="Times New Roman" w:eastAsia="Times New Roman" w:hAnsi="Times New Roman"/>
          <w:sz w:val="20"/>
          <w:szCs w:val="24"/>
          <w:vertAlign w:val="superscript"/>
          <w:lang w:eastAsia="en-GB"/>
        </w:rPr>
        <w:footnoteReference w:id="5"/>
      </w:r>
      <w:r w:rsidRPr="00D469E4">
        <w:rPr>
          <w:rFonts w:ascii="Times New Roman" w:hAnsi="Times New Roman"/>
          <w:sz w:val="24"/>
        </w:rPr>
        <w:t xml:space="preserve"> alebo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akomkoľvek ustanovení, ktoré ju nahrádza.</w:t>
      </w:r>
    </w:p>
    <w:p w14:paraId="73FAE623" w14:textId="77777777" w:rsidR="0060775D" w:rsidRPr="00D469E4" w:rsidRDefault="0060775D" w:rsidP="0060775D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BB47D" w14:textId="77777777" w:rsidR="0060775D" w:rsidRPr="00D469E4" w:rsidRDefault="0060775D" w:rsidP="0060775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Ak sa pomoc poskytuje na základe časti II oddielu 1.1.1.3 usmernení, uveďte oprávnené náklady:</w:t>
      </w:r>
    </w:p>
    <w:p w14:paraId="08280F48" w14:textId="77777777" w:rsidR="0060775D" w:rsidRPr="00D469E4" w:rsidRDefault="0060775D" w:rsidP="0060775D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DEF7FB" w14:textId="3CAD63C4" w:rsidR="0060775D" w:rsidRPr="00D469E4" w:rsidRDefault="0060775D" w:rsidP="00035E36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a) náklady na výstavbu, nadobudnutie (vrátane lízingu) alebo rekonštrukciu nehnuteľného majetku vrátane investícií do pasívnych vnútorných elektrických rozvodov alebo štruktúrovaných káblových rozvodov pre dátové siete</w:t>
      </w:r>
      <w:r w:rsidR="00D469E4">
        <w:rPr>
          <w:rFonts w:ascii="Times New Roman" w:hAnsi="Times New Roman"/>
          <w:sz w:val="24"/>
        </w:rPr>
        <w:t xml:space="preserve"> a v </w:t>
      </w:r>
      <w:r w:rsidRPr="00D469E4">
        <w:rPr>
          <w:rFonts w:ascii="Times New Roman" w:hAnsi="Times New Roman"/>
          <w:sz w:val="24"/>
        </w:rPr>
        <w:t>prípade potreby pomocnej časti pasívnej siete na súkromnom majetku mimo budovy.</w:t>
      </w:r>
    </w:p>
    <w:p w14:paraId="1BDBFBDA" w14:textId="77777777" w:rsidR="0060775D" w:rsidRPr="00D469E4" w:rsidRDefault="0060775D" w:rsidP="0060775D">
      <w:pPr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599F5A" w14:textId="5007EC84" w:rsidR="0031577E" w:rsidRPr="00D469E4" w:rsidRDefault="0031577E" w:rsidP="00AE6ABC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Ak sa pomoc poskytuje na náklady súvisiace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nákupom pozemku, sú náklady na zakúpený pozemok oprávnené na pomoc iba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rozsahu, ktorý neprekračuje 10</w:t>
      </w:r>
      <w:r w:rsidR="00D469E4">
        <w:rPr>
          <w:rFonts w:ascii="Times New Roman" w:hAnsi="Times New Roman"/>
          <w:sz w:val="24"/>
        </w:rPr>
        <w:t> %</w:t>
      </w:r>
      <w:r w:rsidRPr="00D469E4">
        <w:rPr>
          <w:rFonts w:ascii="Times New Roman" w:hAnsi="Times New Roman"/>
          <w:sz w:val="24"/>
        </w:rPr>
        <w:t xml:space="preserve"> celkových oprávnených nákladov na danú operáciu?</w:t>
      </w:r>
    </w:p>
    <w:p w14:paraId="464332A3" w14:textId="77777777" w:rsidR="0031577E" w:rsidRPr="00D469E4" w:rsidRDefault="0031577E" w:rsidP="00035E36">
      <w:pPr>
        <w:spacing w:after="0" w:line="240" w:lineRule="auto"/>
        <w:ind w:left="1134" w:hanging="23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FA631F" w14:textId="77777777" w:rsidR="0060775D" w:rsidRPr="00D469E4" w:rsidRDefault="0060775D" w:rsidP="00AE6ABC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áno</w:t>
      </w:r>
      <w:r w:rsidRPr="00D469E4">
        <w:tab/>
      </w:r>
      <w:r w:rsidRPr="00D469E4">
        <w:tab/>
      </w:r>
      <w:r w:rsidRPr="00D469E4">
        <w:tab/>
      </w: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nie</w:t>
      </w:r>
    </w:p>
    <w:p w14:paraId="12B94FD1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720" w:firstLine="69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37B733" w14:textId="419EE176" w:rsidR="0060775D" w:rsidRPr="00D469E4" w:rsidRDefault="0060775D" w:rsidP="00035E36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sz w:val="24"/>
        </w:rPr>
      </w:r>
      <w:r w:rsidR="008173D0">
        <w:rPr>
          <w:rFonts w:ascii="Times New Roman" w:eastAsia="Times New Roman" w:hAnsi="Times New Roman"/>
          <w:sz w:val="24"/>
        </w:rPr>
        <w:fldChar w:fldCharType="separate"/>
      </w:r>
      <w:r w:rsidRPr="00D469E4">
        <w:rPr>
          <w:rFonts w:ascii="Times New Roman" w:eastAsia="Times New Roman" w:hAnsi="Times New Roman"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b) nákup alebo lízing strojov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vybavenia do výšky trhovej hodnoty majetku;</w:t>
      </w:r>
    </w:p>
    <w:p w14:paraId="767C1B28" w14:textId="77777777" w:rsidR="0060775D" w:rsidRPr="00D469E4" w:rsidRDefault="0060775D" w:rsidP="00035E36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2AC27F" w14:textId="6A11A54C" w:rsidR="0060775D" w:rsidRPr="00D469E4" w:rsidRDefault="0060775D" w:rsidP="00035E36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sz w:val="24"/>
        </w:rPr>
      </w:r>
      <w:r w:rsidR="008173D0">
        <w:rPr>
          <w:rFonts w:ascii="Times New Roman" w:eastAsia="Times New Roman" w:hAnsi="Times New Roman"/>
          <w:sz w:val="24"/>
        </w:rPr>
        <w:fldChar w:fldCharType="separate"/>
      </w:r>
      <w:r w:rsidRPr="00D469E4">
        <w:rPr>
          <w:rFonts w:ascii="Times New Roman" w:eastAsia="Times New Roman" w:hAnsi="Times New Roman"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c) všeobecné náklady spojené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výdavkami podľa písmen a)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 xml:space="preserve">b), ako sú odmeny </w:t>
      </w:r>
      <w:r w:rsidRPr="00D469E4">
        <w:rPr>
          <w:rFonts w:ascii="Times New Roman" w:hAnsi="Times New Roman"/>
          <w:sz w:val="24"/>
        </w:rPr>
        <w:lastRenderedPageBreak/>
        <w:t>pre architektov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technikov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poplatky za konzultácie, poplatky súvisiace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poradenstvom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oblasti environmentálnej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hospodárskej udržateľnosti vrátane štúdií uskutočniteľnosti.</w:t>
      </w:r>
    </w:p>
    <w:p w14:paraId="0D744A72" w14:textId="77777777" w:rsidR="0031577E" w:rsidRPr="00D469E4" w:rsidRDefault="0031577E" w:rsidP="0060775D">
      <w:pPr>
        <w:widowControl w:val="0"/>
        <w:adjustRightInd w:val="0"/>
        <w:spacing w:after="0" w:line="240" w:lineRule="auto"/>
        <w:ind w:left="141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58B5C1" w14:textId="7A854B52" w:rsidR="0060775D" w:rsidRPr="00D469E4" w:rsidRDefault="0060775D" w:rsidP="00035E36">
      <w:pPr>
        <w:widowControl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Upozorňujeme vás, že náklady na štúdie uskutočniteľnosti môžu zostať oprávnené aj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prípade, že</w:t>
      </w:r>
      <w:r w:rsidR="00D469E4">
        <w:rPr>
          <w:rFonts w:ascii="Times New Roman" w:hAnsi="Times New Roman"/>
          <w:sz w:val="24"/>
        </w:rPr>
        <w:t xml:space="preserve"> z </w:t>
      </w:r>
      <w:r w:rsidRPr="00D469E4">
        <w:rPr>
          <w:rFonts w:ascii="Times New Roman" w:hAnsi="Times New Roman"/>
          <w:sz w:val="24"/>
        </w:rPr>
        <w:t>ich výsledkov nevyplynú žiadne výdavky uvedené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písmenách a)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b);</w:t>
      </w:r>
    </w:p>
    <w:p w14:paraId="03418BC0" w14:textId="77777777" w:rsidR="0060775D" w:rsidRPr="00D469E4" w:rsidRDefault="0060775D" w:rsidP="0060775D">
      <w:pPr>
        <w:widowControl w:val="0"/>
        <w:adjustRightInd w:val="0"/>
        <w:spacing w:after="0" w:line="240" w:lineRule="auto"/>
        <w:ind w:left="141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9B080A" w14:textId="6EE879D5" w:rsidR="0060775D" w:rsidRPr="00D469E4" w:rsidRDefault="0060775D" w:rsidP="00035E36">
      <w:pPr>
        <w:widowControl w:val="0"/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sz w:val="24"/>
        </w:rPr>
      </w:r>
      <w:r w:rsidR="008173D0">
        <w:rPr>
          <w:rFonts w:ascii="Times New Roman" w:eastAsia="Times New Roman" w:hAnsi="Times New Roman"/>
          <w:sz w:val="24"/>
        </w:rPr>
        <w:fldChar w:fldCharType="separate"/>
      </w:r>
      <w:r w:rsidRPr="00D469E4">
        <w:rPr>
          <w:rFonts w:ascii="Times New Roman" w:eastAsia="Times New Roman" w:hAnsi="Times New Roman"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 xml:space="preserve">d) poplatky za získanie, vývoj alebo používanie počítačového softvéru, </w:t>
      </w:r>
      <w:proofErr w:type="spellStart"/>
      <w:r w:rsidRPr="00D469E4">
        <w:rPr>
          <w:rFonts w:ascii="Times New Roman" w:hAnsi="Times New Roman"/>
          <w:sz w:val="24"/>
        </w:rPr>
        <w:t>cloudu</w:t>
      </w:r>
      <w:proofErr w:type="spellEnd"/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podobných riešení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získanie patentov, licencií, autorských práv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ochranných známok.</w:t>
      </w:r>
    </w:p>
    <w:p w14:paraId="4A901F75" w14:textId="77777777" w:rsidR="0060775D" w:rsidRPr="00D469E4" w:rsidRDefault="0060775D" w:rsidP="0060775D">
      <w:pPr>
        <w:spacing w:after="0" w:line="240" w:lineRule="auto"/>
        <w:ind w:left="1440" w:hanging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D30DF0" w14:textId="77777777" w:rsidR="00D469E4" w:rsidRDefault="00AE6ABC" w:rsidP="0060775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D469E4">
        <w:rPr>
          <w:rFonts w:ascii="Times New Roman" w:hAnsi="Times New Roman"/>
          <w:sz w:val="24"/>
        </w:rPr>
        <w:t>Poskytuje sa pomoc na niektoré</w:t>
      </w:r>
      <w:r w:rsidR="00D469E4">
        <w:rPr>
          <w:rFonts w:ascii="Times New Roman" w:hAnsi="Times New Roman"/>
          <w:sz w:val="24"/>
        </w:rPr>
        <w:t xml:space="preserve"> z </w:t>
      </w:r>
      <w:r w:rsidRPr="00D469E4">
        <w:rPr>
          <w:rFonts w:ascii="Times New Roman" w:hAnsi="Times New Roman"/>
          <w:sz w:val="24"/>
        </w:rPr>
        <w:t>týchto nákladov?</w:t>
      </w:r>
    </w:p>
    <w:p w14:paraId="0A479BCE" w14:textId="16202FB6" w:rsidR="0060775D" w:rsidRPr="00D469E4" w:rsidRDefault="0060775D" w:rsidP="0060775D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30EA26" w14:textId="2132B176" w:rsidR="0060775D" w:rsidRPr="00D469E4" w:rsidRDefault="0060775D" w:rsidP="0071221C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iné náklady ako náklady uvedené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otázke 7 tohto formulára doplňujúcich informácií, ktoré súvisia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lízingovými zmluvami, ako napríklad marža prenajímateľa, náklady na refinancovanie úrokov, režijné náklady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poistné poplatky;</w:t>
      </w:r>
    </w:p>
    <w:p w14:paraId="0793BC7A" w14:textId="77777777" w:rsidR="0060775D" w:rsidRPr="00D469E4" w:rsidRDefault="0060775D" w:rsidP="00035E36">
      <w:pPr>
        <w:widowControl w:val="0"/>
        <w:tabs>
          <w:tab w:val="left" w:pos="1843"/>
        </w:tabs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B253C9" w14:textId="77777777" w:rsidR="0060775D" w:rsidRPr="00D469E4" w:rsidRDefault="0060775D" w:rsidP="0071221C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prevádzkový kapitál;</w:t>
      </w:r>
    </w:p>
    <w:p w14:paraId="59451A16" w14:textId="77777777" w:rsidR="0060775D" w:rsidRPr="00D469E4" w:rsidRDefault="0060775D" w:rsidP="00035E36">
      <w:pPr>
        <w:widowControl w:val="0"/>
        <w:tabs>
          <w:tab w:val="left" w:pos="1843"/>
        </w:tabs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06B68D" w14:textId="77777777" w:rsidR="0031577E" w:rsidRPr="00D469E4" w:rsidRDefault="0031577E" w:rsidP="0071221C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elektrické alebo káblové rozvody pre dátové siete mimo daného súkromného majetku;</w:t>
      </w:r>
    </w:p>
    <w:p w14:paraId="5B962307" w14:textId="77777777" w:rsidR="0031577E" w:rsidRPr="00D469E4" w:rsidRDefault="0031577E" w:rsidP="00035E36">
      <w:pPr>
        <w:widowControl w:val="0"/>
        <w:tabs>
          <w:tab w:val="left" w:pos="1843"/>
        </w:tabs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CA9B49" w14:textId="0967F840" w:rsidR="0060775D" w:rsidRPr="00D469E4" w:rsidRDefault="0060775D" w:rsidP="0071221C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náklady súvisiace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investíciami na dosiahnutie súladu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platnými normami Únie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vnútroštátnymi normami.</w:t>
      </w:r>
    </w:p>
    <w:p w14:paraId="5CB40DE5" w14:textId="77777777" w:rsidR="0060775D" w:rsidRPr="00D469E4" w:rsidRDefault="0060775D" w:rsidP="0060775D">
      <w:pPr>
        <w:widowControl w:val="0"/>
        <w:tabs>
          <w:tab w:val="left" w:pos="1843"/>
        </w:tabs>
        <w:adjustRightInd w:val="0"/>
        <w:spacing w:after="0" w:line="240" w:lineRule="auto"/>
        <w:ind w:left="1417" w:hanging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5E3E2" w14:textId="77777777" w:rsidR="00A53D6E" w:rsidRPr="00D469E4" w:rsidRDefault="00A53D6E" w:rsidP="00A5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áno</w:t>
      </w:r>
      <w:r w:rsidRPr="00D469E4">
        <w:tab/>
      </w:r>
      <w:r w:rsidRPr="00D469E4">
        <w:tab/>
      </w:r>
      <w:r w:rsidRPr="00D469E4">
        <w:tab/>
      </w: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nie</w:t>
      </w:r>
    </w:p>
    <w:p w14:paraId="658418D6" w14:textId="77777777" w:rsidR="00A53D6E" w:rsidRPr="00D469E4" w:rsidRDefault="00A53D6E" w:rsidP="00AE6ABC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B9AB61" w14:textId="33E51973" w:rsidR="0060775D" w:rsidRPr="00D469E4" w:rsidRDefault="00350D4A" w:rsidP="00AE6ABC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Upozorňujeme vás, že ak sú zahrnuté akékoľvek výdavky uvedené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písmenách a) až d), pomoc nemožno vyhlásiť za zlučiteľnú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vnútorným trhom.</w:t>
      </w:r>
    </w:p>
    <w:p w14:paraId="48F0665B" w14:textId="77777777" w:rsidR="0060775D" w:rsidRPr="00D469E4" w:rsidRDefault="0060775D" w:rsidP="0060775D">
      <w:pPr>
        <w:widowControl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937ACA" w14:textId="77777777" w:rsidR="0060775D" w:rsidRPr="00D469E4" w:rsidRDefault="0060775D" w:rsidP="00A53D6E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Uveďte intenzitu pomoci:</w:t>
      </w:r>
    </w:p>
    <w:p w14:paraId="39DA6708" w14:textId="77777777" w:rsidR="0000619B" w:rsidRPr="00D469E4" w:rsidRDefault="0000619B" w:rsidP="0000619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0AAF7AF9" w14:textId="77777777" w:rsidR="0031577E" w:rsidRPr="00D469E4" w:rsidRDefault="0031577E" w:rsidP="0000619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sz w:val="24"/>
        </w:rPr>
      </w:r>
      <w:r w:rsidR="008173D0">
        <w:rPr>
          <w:rFonts w:ascii="Times New Roman" w:eastAsia="Times New Roman" w:hAnsi="Times New Roman"/>
          <w:sz w:val="24"/>
        </w:rPr>
        <w:fldChar w:fldCharType="separate"/>
      </w:r>
      <w:r w:rsidRPr="00D469E4">
        <w:rPr>
          <w:rFonts w:ascii="Times New Roman" w:eastAsia="Times New Roman" w:hAnsi="Times New Roman"/>
          <w:sz w:val="24"/>
        </w:rPr>
        <w:fldChar w:fldCharType="end"/>
      </w:r>
      <w:r w:rsidRPr="00D469E4">
        <w:rPr>
          <w:rFonts w:ascii="Times New Roman" w:hAnsi="Times New Roman"/>
          <w:sz w:val="24"/>
        </w:rPr>
        <w:t xml:space="preserve"> …..% oprávnených nákladov.</w:t>
      </w:r>
    </w:p>
    <w:p w14:paraId="090D4680" w14:textId="77777777" w:rsidR="0031577E" w:rsidRPr="00D469E4" w:rsidRDefault="0031577E" w:rsidP="0000619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565E23" w14:textId="10ED0B98" w:rsidR="00CF0277" w:rsidRPr="00D469E4" w:rsidRDefault="00CF0277" w:rsidP="00CF027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Upozorňujeme vás, že podľa bodu 175 usmernení nesmie intenzita pomoci presiahnuť 65</w:t>
      </w:r>
      <w:r w:rsidR="00D469E4">
        <w:rPr>
          <w:rFonts w:ascii="Times New Roman" w:hAnsi="Times New Roman"/>
          <w:sz w:val="24"/>
        </w:rPr>
        <w:t> %</w:t>
      </w:r>
      <w:r w:rsidRPr="00D469E4">
        <w:rPr>
          <w:rFonts w:ascii="Times New Roman" w:hAnsi="Times New Roman"/>
          <w:sz w:val="24"/>
        </w:rPr>
        <w:t xml:space="preserve"> oprávnených nákladov.</w:t>
      </w:r>
    </w:p>
    <w:p w14:paraId="5566430C" w14:textId="77777777" w:rsidR="00CF0277" w:rsidRPr="00D469E4" w:rsidRDefault="00CF0277" w:rsidP="0000619B">
      <w:pPr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27177F" w14:textId="6DD7D6B9" w:rsidR="00EF2E8E" w:rsidRPr="00D469E4" w:rsidRDefault="0031577E" w:rsidP="00F86D2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sz w:val="24"/>
        </w:rPr>
      </w:r>
      <w:r w:rsidR="008173D0">
        <w:rPr>
          <w:rFonts w:ascii="Times New Roman" w:eastAsia="Times New Roman" w:hAnsi="Times New Roman"/>
          <w:sz w:val="24"/>
        </w:rPr>
        <w:fldChar w:fldCharType="separate"/>
      </w:r>
      <w:r w:rsidRPr="00D469E4">
        <w:rPr>
          <w:rFonts w:ascii="Times New Roman" w:eastAsia="Times New Roman" w:hAnsi="Times New Roman"/>
          <w:sz w:val="24"/>
        </w:rPr>
        <w:fldChar w:fldCharType="end"/>
      </w:r>
      <w:r w:rsidRPr="00D469E4">
        <w:rPr>
          <w:rFonts w:ascii="Times New Roman" w:hAnsi="Times New Roman"/>
          <w:sz w:val="24"/>
        </w:rPr>
        <w:t>…..% investícií viazaných na jeden alebo viacero špecifických cieľov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oblasti životného prostredia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klímy uvedených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bode 152 písm. e), f)</w:t>
      </w:r>
      <w:r w:rsidR="00D469E4">
        <w:rPr>
          <w:rFonts w:ascii="Times New Roman" w:hAnsi="Times New Roman"/>
          <w:sz w:val="24"/>
        </w:rPr>
        <w:t xml:space="preserve"> a </w:t>
      </w:r>
      <w:r w:rsidRPr="00D469E4">
        <w:rPr>
          <w:rFonts w:ascii="Times New Roman" w:hAnsi="Times New Roman"/>
          <w:sz w:val="24"/>
        </w:rPr>
        <w:t>g) usmernení alebo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prípade spracovania poľnohospodárskych výrobkov na dobré životné podmienky zvierat.</w:t>
      </w:r>
    </w:p>
    <w:p w14:paraId="29BD51CF" w14:textId="77777777" w:rsidR="00EF2E8E" w:rsidRPr="00D469E4" w:rsidRDefault="00EF2E8E" w:rsidP="0000619B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14:paraId="346D2B04" w14:textId="3D072074" w:rsidR="00D469E4" w:rsidRDefault="00EF2E8E" w:rsidP="00B51762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D469E4">
        <w:rPr>
          <w:rFonts w:ascii="Times New Roman" w:hAnsi="Times New Roman"/>
          <w:sz w:val="24"/>
        </w:rPr>
        <w:t>Upozorňujeme vás, že podľa bodu 176 písm. a) usmernení nesmie intenzita pomoci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súvislosti</w:t>
      </w:r>
      <w:r w:rsidR="00D469E4">
        <w:rPr>
          <w:rFonts w:ascii="Times New Roman" w:hAnsi="Times New Roman"/>
          <w:sz w:val="24"/>
        </w:rPr>
        <w:t xml:space="preserve"> s </w:t>
      </w:r>
      <w:r w:rsidRPr="00D469E4">
        <w:rPr>
          <w:rFonts w:ascii="Times New Roman" w:hAnsi="Times New Roman"/>
          <w:sz w:val="24"/>
        </w:rPr>
        <w:t>týmito nákladmi presiahnuť 80</w:t>
      </w:r>
      <w:r w:rsidR="00D469E4">
        <w:rPr>
          <w:rFonts w:ascii="Times New Roman" w:hAnsi="Times New Roman"/>
          <w:sz w:val="24"/>
        </w:rPr>
        <w:t> %</w:t>
      </w:r>
      <w:r w:rsidRPr="00D469E4">
        <w:rPr>
          <w:rFonts w:ascii="Times New Roman" w:hAnsi="Times New Roman"/>
          <w:sz w:val="24"/>
        </w:rPr>
        <w:t xml:space="preserve"> oprávnených nákladov</w:t>
      </w:r>
      <w:r w:rsidR="00D469E4">
        <w:rPr>
          <w:rFonts w:ascii="Times New Roman" w:hAnsi="Times New Roman"/>
          <w:sz w:val="24"/>
        </w:rPr>
        <w:t>.</w:t>
      </w:r>
    </w:p>
    <w:p w14:paraId="726AFCC4" w14:textId="71285C63" w:rsidR="0031577E" w:rsidRPr="00D469E4" w:rsidRDefault="0031577E" w:rsidP="0031577E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0D6FD4DB" w14:textId="77777777" w:rsidR="0031577E" w:rsidRPr="00D469E4" w:rsidRDefault="0031577E" w:rsidP="00EF2E8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sz w:val="24"/>
        </w:rPr>
      </w:r>
      <w:r w:rsidR="008173D0">
        <w:rPr>
          <w:rFonts w:ascii="Times New Roman" w:eastAsia="Times New Roman" w:hAnsi="Times New Roman"/>
          <w:sz w:val="24"/>
        </w:rPr>
        <w:fldChar w:fldCharType="separate"/>
      </w:r>
      <w:r w:rsidRPr="00D469E4">
        <w:rPr>
          <w:rFonts w:ascii="Times New Roman" w:eastAsia="Times New Roman" w:hAnsi="Times New Roman"/>
          <w:sz w:val="24"/>
        </w:rPr>
        <w:fldChar w:fldCharType="end"/>
      </w:r>
      <w:r w:rsidRPr="00D469E4">
        <w:rPr>
          <w:rFonts w:ascii="Times New Roman" w:hAnsi="Times New Roman"/>
          <w:sz w:val="24"/>
        </w:rPr>
        <w:t>…..% investícií uskutočňovaných mladými poľnohospodármi.</w:t>
      </w:r>
    </w:p>
    <w:p w14:paraId="16458D88" w14:textId="77777777" w:rsidR="0031577E" w:rsidRPr="00D469E4" w:rsidRDefault="0031577E" w:rsidP="0000619B">
      <w:pPr>
        <w:spacing w:after="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536830" w14:textId="00E869AF" w:rsidR="00EF2E8E" w:rsidRPr="00D469E4" w:rsidRDefault="00EF2E8E" w:rsidP="00B5176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Upozorňujeme vás, že podľa bodu 176 písm. b) usmernení nesmie intenzita pomoci na investície uskutočňované mladými poľnohospodármi presiahnuť 80</w:t>
      </w:r>
      <w:r w:rsidR="00D469E4">
        <w:rPr>
          <w:rFonts w:ascii="Times New Roman" w:hAnsi="Times New Roman"/>
          <w:sz w:val="24"/>
        </w:rPr>
        <w:t> %</w:t>
      </w:r>
      <w:r w:rsidRPr="00D469E4">
        <w:rPr>
          <w:rFonts w:ascii="Times New Roman" w:hAnsi="Times New Roman"/>
          <w:sz w:val="24"/>
        </w:rPr>
        <w:t xml:space="preserve"> oprávnených nákladov.</w:t>
      </w:r>
    </w:p>
    <w:p w14:paraId="6BD09B61" w14:textId="77777777" w:rsidR="00EF2E8E" w:rsidRPr="00D469E4" w:rsidRDefault="00EF2E8E" w:rsidP="0000619B">
      <w:pPr>
        <w:spacing w:after="0" w:line="240" w:lineRule="auto"/>
        <w:ind w:left="1701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E5BCF1" w14:textId="45A4320D" w:rsidR="0031577E" w:rsidRPr="00D469E4" w:rsidRDefault="0031577E" w:rsidP="00EF2E8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sz w:val="24"/>
        </w:rPr>
      </w:r>
      <w:r w:rsidR="008173D0">
        <w:rPr>
          <w:rFonts w:ascii="Times New Roman" w:eastAsia="Times New Roman" w:hAnsi="Times New Roman"/>
          <w:sz w:val="24"/>
        </w:rPr>
        <w:fldChar w:fldCharType="separate"/>
      </w:r>
      <w:r w:rsidRPr="00D469E4">
        <w:rPr>
          <w:rFonts w:ascii="Times New Roman" w:eastAsia="Times New Roman" w:hAnsi="Times New Roman"/>
          <w:sz w:val="24"/>
        </w:rPr>
        <w:fldChar w:fldCharType="end"/>
      </w:r>
      <w:r w:rsidRPr="00D469E4">
        <w:rPr>
          <w:rFonts w:ascii="Times New Roman" w:hAnsi="Times New Roman"/>
          <w:sz w:val="24"/>
        </w:rPr>
        <w:t>…..% investícií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najvzdialenejších regiónoch alebo na menších ostrovoch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Egejskom mori.</w:t>
      </w:r>
    </w:p>
    <w:p w14:paraId="548E482F" w14:textId="77777777" w:rsidR="00350D4A" w:rsidRPr="00D469E4" w:rsidRDefault="00350D4A" w:rsidP="00B5176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1741CB8" w14:textId="63B37F22" w:rsidR="00B51762" w:rsidRPr="00D469E4" w:rsidRDefault="00B51762" w:rsidP="00B5176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Upozorňujeme vás, že podľa bodu 176 písm. c) usmernení nesmie intenzita pomoci na investície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najvzdialenejších regiónoch alebo na menších ostrovoch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Egejskom mori presiahnuť 80</w:t>
      </w:r>
      <w:r w:rsidR="00D469E4">
        <w:rPr>
          <w:rFonts w:ascii="Times New Roman" w:hAnsi="Times New Roman"/>
          <w:sz w:val="24"/>
        </w:rPr>
        <w:t> %</w:t>
      </w:r>
      <w:r w:rsidRPr="00D469E4">
        <w:rPr>
          <w:rFonts w:ascii="Times New Roman" w:hAnsi="Times New Roman"/>
          <w:sz w:val="24"/>
        </w:rPr>
        <w:t xml:space="preserve"> oprávnených nákladov.</w:t>
      </w:r>
    </w:p>
    <w:p w14:paraId="0E7EC365" w14:textId="77777777" w:rsidR="0060775D" w:rsidRPr="00D469E4" w:rsidRDefault="0060775D" w:rsidP="0060775D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1AB99B" w14:textId="77777777" w:rsidR="0060775D" w:rsidRPr="00D469E4" w:rsidRDefault="00730808" w:rsidP="0071221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Poskytuje sa pomoc ako individuálna investičná pomoc?</w:t>
      </w:r>
    </w:p>
    <w:p w14:paraId="0C4F46D4" w14:textId="77777777" w:rsidR="00730808" w:rsidRPr="00D469E4" w:rsidRDefault="00730808" w:rsidP="006077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5CEC7C" w14:textId="77777777" w:rsidR="00730808" w:rsidRPr="00D469E4" w:rsidRDefault="00730808" w:rsidP="007308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áno</w:t>
      </w:r>
      <w:r w:rsidRPr="00D469E4">
        <w:tab/>
      </w:r>
      <w:r w:rsidRPr="00D469E4">
        <w:tab/>
      </w:r>
      <w:r w:rsidRPr="00D469E4">
        <w:tab/>
      </w:r>
      <w:r w:rsidRPr="00D469E4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69E4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3D0">
        <w:rPr>
          <w:rFonts w:ascii="Times New Roman" w:eastAsia="Times New Roman" w:hAnsi="Times New Roman"/>
          <w:b/>
          <w:sz w:val="24"/>
        </w:rPr>
      </w:r>
      <w:r w:rsidR="008173D0">
        <w:rPr>
          <w:rFonts w:ascii="Times New Roman" w:eastAsia="Times New Roman" w:hAnsi="Times New Roman"/>
          <w:b/>
          <w:sz w:val="24"/>
        </w:rPr>
        <w:fldChar w:fldCharType="separate"/>
      </w:r>
      <w:r w:rsidRPr="00D469E4">
        <w:rPr>
          <w:rFonts w:ascii="Times New Roman" w:eastAsia="Times New Roman" w:hAnsi="Times New Roman"/>
          <w:b/>
          <w:sz w:val="24"/>
        </w:rPr>
        <w:fldChar w:fldCharType="end"/>
      </w:r>
      <w:r w:rsidRPr="00D469E4">
        <w:tab/>
      </w:r>
      <w:r w:rsidRPr="00D469E4">
        <w:rPr>
          <w:rFonts w:ascii="Times New Roman" w:hAnsi="Times New Roman"/>
          <w:sz w:val="24"/>
        </w:rPr>
        <w:t>nie</w:t>
      </w:r>
    </w:p>
    <w:p w14:paraId="7FE93718" w14:textId="77777777" w:rsidR="00730808" w:rsidRPr="00D469E4" w:rsidRDefault="00730808" w:rsidP="007308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F3A30F" w14:textId="77777777" w:rsidR="00730808" w:rsidRPr="00D469E4" w:rsidRDefault="00730808" w:rsidP="0071221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Ak ste na otázku 10 tohto formulára doplňujúcich informácií odpovedali áno, uveďte výšku oprávnených nákladov a/alebo ekvivalent hrubého grantu:</w:t>
      </w:r>
    </w:p>
    <w:p w14:paraId="6D311A3F" w14:textId="77777777" w:rsidR="00D469E4" w:rsidRDefault="00730808" w:rsidP="007308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D469E4">
        <w:rPr>
          <w:rFonts w:ascii="Times New Roman" w:hAnsi="Times New Roman"/>
          <w:sz w:val="24"/>
        </w:rPr>
        <w:t>……………………………………………………………………………………………..……………………………………………………………………………………………</w:t>
      </w:r>
    </w:p>
    <w:p w14:paraId="15EF5AF5" w14:textId="1ACAB291" w:rsidR="00730808" w:rsidRPr="00D469E4" w:rsidRDefault="00730808" w:rsidP="007308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color w:val="000000"/>
          <w:shd w:val="clear" w:color="auto" w:fill="FFFFFF"/>
        </w:rPr>
      </w:pPr>
    </w:p>
    <w:p w14:paraId="1A813210" w14:textId="462BE4F5" w:rsidR="00730808" w:rsidRPr="00D469E4" w:rsidRDefault="00730808" w:rsidP="007308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color w:val="000000"/>
          <w:sz w:val="24"/>
          <w:shd w:val="clear" w:color="auto" w:fill="FFFFFF"/>
        </w:rPr>
        <w:t>Upozorňujeme vás, že individuálna investičná pomoc na spracovanie poľnohospodárskych výrobkov</w:t>
      </w:r>
      <w:r w:rsidR="00D469E4">
        <w:rPr>
          <w:rFonts w:ascii="Times New Roman" w:hAnsi="Times New Roman"/>
          <w:color w:val="000000"/>
          <w:sz w:val="24"/>
          <w:shd w:val="clear" w:color="auto" w:fill="FFFFFF"/>
        </w:rPr>
        <w:t xml:space="preserve"> a </w:t>
      </w:r>
      <w:r w:rsidRPr="00D469E4">
        <w:rPr>
          <w:rFonts w:ascii="Times New Roman" w:hAnsi="Times New Roman"/>
          <w:color w:val="000000"/>
          <w:sz w:val="24"/>
          <w:shd w:val="clear" w:color="auto" w:fill="FFFFFF"/>
        </w:rPr>
        <w:t>ich marketing, ktorá presahuje strop vymedzujúci notifikačnú povinnosť stanovený</w:t>
      </w:r>
      <w:r w:rsidR="00D469E4">
        <w:rPr>
          <w:rFonts w:ascii="Times New Roman" w:hAnsi="Times New Roman"/>
          <w:color w:val="000000"/>
          <w:sz w:val="24"/>
          <w:shd w:val="clear" w:color="auto" w:fill="FFFFFF"/>
        </w:rPr>
        <w:t xml:space="preserve"> v </w:t>
      </w:r>
      <w:r w:rsidRPr="00D469E4">
        <w:rPr>
          <w:rFonts w:ascii="Times New Roman" w:hAnsi="Times New Roman"/>
          <w:color w:val="000000"/>
          <w:sz w:val="24"/>
          <w:shd w:val="clear" w:color="auto" w:fill="FFFFFF"/>
        </w:rPr>
        <w:t>bode 35 písm. a) usmernení, t. j. oprávnené náklady presahujúce 25 miliónov EUR alebo ekvivalent hrubého grantu presahujúci 12 miliónov EUR, sa podľa bodu 177 usmernení musí Komisii notifikovať osobitne.</w:t>
      </w:r>
    </w:p>
    <w:p w14:paraId="696A471B" w14:textId="77777777" w:rsidR="00730808" w:rsidRPr="00D469E4" w:rsidRDefault="00730808" w:rsidP="006077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36D8F6" w14:textId="77777777" w:rsidR="0060775D" w:rsidRPr="00D469E4" w:rsidRDefault="0060775D" w:rsidP="007122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469E4">
        <w:rPr>
          <w:rFonts w:ascii="Times New Roman" w:hAnsi="Times New Roman"/>
          <w:b/>
          <w:sz w:val="24"/>
        </w:rPr>
        <w:t>ĎALŠIE INFORMÁCIE</w:t>
      </w:r>
    </w:p>
    <w:p w14:paraId="2C2E1C67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045664" w14:textId="0C4DDCE4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Uveďte všetky ďalšie informácie, ktoré možno považovať za významné</w:t>
      </w:r>
      <w:r w:rsidR="00D469E4">
        <w:rPr>
          <w:rFonts w:ascii="Times New Roman" w:hAnsi="Times New Roman"/>
          <w:sz w:val="24"/>
        </w:rPr>
        <w:t xml:space="preserve"> z </w:t>
      </w:r>
      <w:r w:rsidRPr="00D469E4">
        <w:rPr>
          <w:rFonts w:ascii="Times New Roman" w:hAnsi="Times New Roman"/>
          <w:sz w:val="24"/>
        </w:rPr>
        <w:t>hľadiska posúdenia predmetného opatrenia</w:t>
      </w:r>
      <w:r w:rsidR="00D469E4">
        <w:rPr>
          <w:rFonts w:ascii="Times New Roman" w:hAnsi="Times New Roman"/>
          <w:sz w:val="24"/>
        </w:rPr>
        <w:t xml:space="preserve"> v </w:t>
      </w:r>
      <w:r w:rsidRPr="00D469E4">
        <w:rPr>
          <w:rFonts w:ascii="Times New Roman" w:hAnsi="Times New Roman"/>
          <w:sz w:val="24"/>
        </w:rPr>
        <w:t>rámci tohto oddielu usmernení.</w:t>
      </w:r>
    </w:p>
    <w:p w14:paraId="4172EBEE" w14:textId="77777777" w:rsidR="0060775D" w:rsidRPr="00D469E4" w:rsidRDefault="0060775D" w:rsidP="006077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D1ECBD" w14:textId="77777777" w:rsidR="0060775D" w:rsidRPr="00D469E4" w:rsidRDefault="0060775D" w:rsidP="0060775D">
      <w:pPr>
        <w:widowControl w:val="0"/>
        <w:numPr>
          <w:ilvl w:val="1"/>
          <w:numId w:val="0"/>
        </w:numPr>
        <w:tabs>
          <w:tab w:val="num" w:pos="993"/>
        </w:tabs>
        <w:adjustRightInd w:val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469E4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741036" w14:textId="77777777" w:rsidR="001A718E" w:rsidRPr="00D469E4" w:rsidRDefault="001A718E"/>
    <w:sectPr w:rsidR="001A718E" w:rsidRPr="00D469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D198" w14:textId="77777777" w:rsidR="00611B10" w:rsidRDefault="00611B10" w:rsidP="0060775D">
      <w:pPr>
        <w:spacing w:after="0" w:line="240" w:lineRule="auto"/>
      </w:pPr>
      <w:r>
        <w:separator/>
      </w:r>
    </w:p>
  </w:endnote>
  <w:endnote w:type="continuationSeparator" w:id="0">
    <w:p w14:paraId="4145D496" w14:textId="77777777" w:rsidR="00611B10" w:rsidRDefault="00611B10" w:rsidP="00607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EFF0" w14:textId="71D059A7" w:rsidR="00FB7619" w:rsidRDefault="00FB761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69E4">
      <w:rPr>
        <w:noProof/>
      </w:rPr>
      <w:t>2</w:t>
    </w:r>
    <w:r>
      <w:fldChar w:fldCharType="end"/>
    </w:r>
  </w:p>
  <w:p w14:paraId="66FF7B30" w14:textId="77777777" w:rsidR="00FB7619" w:rsidRDefault="00FB76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B34C" w14:textId="77777777" w:rsidR="00611B10" w:rsidRDefault="00611B10" w:rsidP="0060775D">
      <w:pPr>
        <w:spacing w:after="0" w:line="240" w:lineRule="auto"/>
      </w:pPr>
      <w:r>
        <w:separator/>
      </w:r>
    </w:p>
  </w:footnote>
  <w:footnote w:type="continuationSeparator" w:id="0">
    <w:p w14:paraId="6DCAD0F7" w14:textId="77777777" w:rsidR="00611B10" w:rsidRDefault="00611B10" w:rsidP="0060775D">
      <w:pPr>
        <w:spacing w:after="0" w:line="240" w:lineRule="auto"/>
      </w:pPr>
      <w:r>
        <w:continuationSeparator/>
      </w:r>
    </w:p>
  </w:footnote>
  <w:footnote w:id="1">
    <w:p w14:paraId="119F293B" w14:textId="2F740A36" w:rsidR="00A77106" w:rsidRPr="0071221C" w:rsidRDefault="00A77106" w:rsidP="00D469E4">
      <w:pPr>
        <w:pStyle w:val="FootnoteText"/>
        <w:ind w:left="720" w:hanging="720"/>
      </w:pPr>
      <w:r>
        <w:rPr>
          <w:rStyle w:val="FootnoteReference"/>
        </w:rPr>
        <w:footnoteRef/>
      </w:r>
      <w:r>
        <w:t xml:space="preserve"> </w:t>
      </w:r>
      <w:r w:rsidR="00D469E4">
        <w:tab/>
      </w:r>
      <w:hyperlink r:id="rId1" w:history="1">
        <w:r>
          <w:rPr>
            <w:rStyle w:val="Hyperlink"/>
          </w:rPr>
          <w:t>EUR-Lex – 32013R1308 – SK – EUR-Lex (europa.eu)</w:t>
        </w:r>
      </w:hyperlink>
      <w:r>
        <w:t>.</w:t>
      </w:r>
    </w:p>
  </w:footnote>
  <w:footnote w:id="2">
    <w:p w14:paraId="21FD8950" w14:textId="72D67B9A" w:rsidR="0060775D" w:rsidRPr="0071221C" w:rsidRDefault="0060775D" w:rsidP="00D469E4">
      <w:pPr>
        <w:pStyle w:val="FootnoteText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="00D469E4">
        <w:rPr>
          <w:rFonts w:ascii="Times New Roman" w:hAnsi="Times New Roman"/>
        </w:rPr>
        <w:tab/>
      </w:r>
      <w:hyperlink r:id="rId2" w:history="1">
        <w:r>
          <w:rPr>
            <w:rStyle w:val="Hyperlink"/>
          </w:rPr>
          <w:t>EUR-Lex - 32014R0651 - SK - EUR-Lex (europa.eu)</w:t>
        </w:r>
      </w:hyperlink>
      <w:r>
        <w:t>.</w:t>
      </w:r>
    </w:p>
  </w:footnote>
  <w:footnote w:id="3">
    <w:p w14:paraId="1689837A" w14:textId="35273EBF" w:rsidR="0060775D" w:rsidRPr="0071221C" w:rsidRDefault="0060775D" w:rsidP="00D469E4">
      <w:pPr>
        <w:pStyle w:val="FootnoteText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="00D469E4">
        <w:rPr>
          <w:rFonts w:ascii="Times New Roman" w:hAnsi="Times New Roman"/>
        </w:rPr>
        <w:tab/>
      </w:r>
      <w:hyperlink r:id="rId3" w:history="1">
        <w:r>
          <w:rPr>
            <w:rStyle w:val="Hyperlink"/>
          </w:rPr>
          <w:t>EUR-Lex - 52021XC0429(01) - SK - EUR-Lex (europa.eu)</w:t>
        </w:r>
      </w:hyperlink>
      <w:r>
        <w:t>.</w:t>
      </w:r>
    </w:p>
  </w:footnote>
  <w:footnote w:id="4">
    <w:p w14:paraId="3485A8C0" w14:textId="5D78D52F" w:rsidR="0060775D" w:rsidRPr="0071221C" w:rsidRDefault="0060775D" w:rsidP="00D469E4">
      <w:pPr>
        <w:pStyle w:val="FootnoteText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="00D469E4">
        <w:rPr>
          <w:rFonts w:ascii="Times New Roman" w:hAnsi="Times New Roman"/>
        </w:rPr>
        <w:tab/>
      </w:r>
      <w:hyperlink r:id="rId4" w:history="1">
        <w:r>
          <w:rPr>
            <w:rStyle w:val="Hyperlink"/>
          </w:rPr>
          <w:t>EUR-Lex - 32004R0794 - SK - EUR-Lex (europa.eu)</w:t>
        </w:r>
      </w:hyperlink>
      <w:r>
        <w:t>.</w:t>
      </w:r>
    </w:p>
  </w:footnote>
  <w:footnote w:id="5">
    <w:p w14:paraId="06A7A7E4" w14:textId="6A01564A" w:rsidR="0060775D" w:rsidRPr="0071221C" w:rsidRDefault="0060775D" w:rsidP="00D469E4">
      <w:pPr>
        <w:pStyle w:val="FootnoteText"/>
        <w:ind w:left="720" w:hanging="720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="00D469E4">
        <w:rPr>
          <w:rFonts w:ascii="Times New Roman" w:hAnsi="Times New Roman"/>
        </w:rPr>
        <w:tab/>
      </w:r>
      <w:hyperlink r:id="rId5" w:history="1">
        <w:r>
          <w:rPr>
            <w:rStyle w:val="Hyperlink"/>
          </w:rPr>
          <w:t>EUR-Lex - 32006R1627 - SK - 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A1070" w14:textId="77777777" w:rsidR="00FB7619" w:rsidRDefault="00FB7619" w:rsidP="00FB761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E5471"/>
    <w:multiLevelType w:val="multilevel"/>
    <w:tmpl w:val="1136A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5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FBA79BB"/>
    <w:multiLevelType w:val="hybridMultilevel"/>
    <w:tmpl w:val="5B30BA00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9C267AC"/>
    <w:multiLevelType w:val="multilevel"/>
    <w:tmpl w:val="120A7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946811935">
    <w:abstractNumId w:val="2"/>
  </w:num>
  <w:num w:numId="2" w16cid:durableId="481580067">
    <w:abstractNumId w:val="0"/>
  </w:num>
  <w:num w:numId="3" w16cid:durableId="1976786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60775D"/>
    <w:rsid w:val="0000619B"/>
    <w:rsid w:val="00035E36"/>
    <w:rsid w:val="000B4191"/>
    <w:rsid w:val="000C02D8"/>
    <w:rsid w:val="001227C6"/>
    <w:rsid w:val="001A718E"/>
    <w:rsid w:val="001F6EF9"/>
    <w:rsid w:val="00242CEE"/>
    <w:rsid w:val="0031577E"/>
    <w:rsid w:val="00350D4A"/>
    <w:rsid w:val="00384AAE"/>
    <w:rsid w:val="004213B3"/>
    <w:rsid w:val="004D422B"/>
    <w:rsid w:val="005011AF"/>
    <w:rsid w:val="005B2F0A"/>
    <w:rsid w:val="005B344E"/>
    <w:rsid w:val="005C02BC"/>
    <w:rsid w:val="0060775D"/>
    <w:rsid w:val="00611B10"/>
    <w:rsid w:val="00616A35"/>
    <w:rsid w:val="00643F0A"/>
    <w:rsid w:val="0071221C"/>
    <w:rsid w:val="00730808"/>
    <w:rsid w:val="00812035"/>
    <w:rsid w:val="008173D0"/>
    <w:rsid w:val="0093642A"/>
    <w:rsid w:val="009A219D"/>
    <w:rsid w:val="009B15BB"/>
    <w:rsid w:val="00A53D6E"/>
    <w:rsid w:val="00A77106"/>
    <w:rsid w:val="00AE6ABC"/>
    <w:rsid w:val="00AF0120"/>
    <w:rsid w:val="00B51762"/>
    <w:rsid w:val="00B735F8"/>
    <w:rsid w:val="00BF1668"/>
    <w:rsid w:val="00BF1E80"/>
    <w:rsid w:val="00C93CCC"/>
    <w:rsid w:val="00CB0B88"/>
    <w:rsid w:val="00CF0277"/>
    <w:rsid w:val="00D469E4"/>
    <w:rsid w:val="00DA42A1"/>
    <w:rsid w:val="00E6085E"/>
    <w:rsid w:val="00E8138F"/>
    <w:rsid w:val="00EF2E8E"/>
    <w:rsid w:val="00F633F3"/>
    <w:rsid w:val="00F71E94"/>
    <w:rsid w:val="00F86D21"/>
    <w:rsid w:val="00FB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7BA5D"/>
  <w15:chartTrackingRefBased/>
  <w15:docId w15:val="{0469B204-92A0-4949-BAB7-4D3E32B2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60775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775D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60775D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60775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60775D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077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077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077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0775D"/>
    <w:rPr>
      <w:rFonts w:ascii="Calibri" w:eastAsia="Calibri" w:hAnsi="Calibri" w:cs="Times New Roman"/>
    </w:rPr>
  </w:style>
  <w:style w:type="character" w:styleId="Emphasis">
    <w:name w:val="Emphasis"/>
    <w:uiPriority w:val="20"/>
    <w:qFormat/>
    <w:rsid w:val="0060775D"/>
    <w:rPr>
      <w:rFonts w:cs="Times New Roman"/>
      <w:i/>
      <w:iCs/>
    </w:rPr>
  </w:style>
  <w:style w:type="character" w:styleId="CommentReference">
    <w:name w:val="annotation reference"/>
    <w:rsid w:val="0060775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84AAE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semiHidden/>
    <w:unhideWhenUsed/>
    <w:rsid w:val="00A7710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64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SK/TXT/?uri=CELEX:52021XC0429(01)" TargetMode="External"/><Relationship Id="rId2" Type="http://schemas.openxmlformats.org/officeDocument/2006/relationships/hyperlink" Target="https://eur-lex.europa.eu/legal-content/SK/TXT/?uri=celex%3A32014R0651" TargetMode="External"/><Relationship Id="rId1" Type="http://schemas.openxmlformats.org/officeDocument/2006/relationships/hyperlink" Target="https://eur-lex.europa.eu/legal-content/SK/ALL/?uri=CELEX:32013R1308" TargetMode="External"/><Relationship Id="rId5" Type="http://schemas.openxmlformats.org/officeDocument/2006/relationships/hyperlink" Target="https://eur-lex.europa.eu/legal-content/SK/TXT/?uri=celex%3A32006R1627" TargetMode="External"/><Relationship Id="rId4" Type="http://schemas.openxmlformats.org/officeDocument/2006/relationships/hyperlink" Target="https://eur-lex.europa.eu/legal-content/sk/ALL/?uri=CELEX%3A32004R07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B095E-E065-4947-B33E-35FE3AF5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1033</Words>
  <Characters>6276</Characters>
  <Application>Microsoft Office Word</Application>
  <DocSecurity>0</DocSecurity>
  <Lines>179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7243</CharactersWithSpaces>
  <SharedDoc>false</SharedDoc>
  <HLinks>
    <vt:vector size="30" baseType="variant">
      <vt:variant>
        <vt:i4>7012471</vt:i4>
      </vt:variant>
      <vt:variant>
        <vt:i4>12</vt:i4>
      </vt:variant>
      <vt:variant>
        <vt:i4>0</vt:i4>
      </vt:variant>
      <vt:variant>
        <vt:i4>5</vt:i4>
      </vt:variant>
      <vt:variant>
        <vt:lpwstr>https://eur-lex.europa.eu/legal-content/EN/TXT/?uri=celex%3A32006R1627</vt:lpwstr>
      </vt:variant>
      <vt:variant>
        <vt:lpwstr/>
      </vt:variant>
      <vt:variant>
        <vt:i4>6553707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https://eur-lex.europa.eu/legal-content/en/ALL/?uri=CELEX%3A32004R0794</vt:lpwstr>
      </vt:variant>
      <vt:variant>
        <vt:lpwstr/>
      </vt:variant>
      <vt:variant>
        <vt:i4>458776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https://eur-lex.europa.eu/legal-content/EN/TXT/?uri=CELEX:52021XC0429(01)</vt:lpwstr>
      </vt:variant>
      <vt:variant>
        <vt:lpwstr/>
      </vt:variant>
      <vt:variant>
        <vt:i4>7078003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https://eur-lex.europa.eu/legal-content/EN/TXT/?uri=celex%3A32014R0651</vt:lpwstr>
      </vt:variant>
      <vt:variant>
        <vt:lpwstr/>
      </vt:variant>
      <vt:variant>
        <vt:i4>1245271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https://eur-lex.europa.eu/legal-content/EN/ALL/?uri=CELEX:32013R1308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6</cp:revision>
  <dcterms:created xsi:type="dcterms:W3CDTF">2023-01-31T14:30:00Z</dcterms:created>
  <dcterms:modified xsi:type="dcterms:W3CDTF">2023-05-24T04:07:00Z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2023-05-24T04:07:04Z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9648228e-0d59-40fe-b7a7-8d1c3245cd2f</vt:lpwstr>
  </property>
  <property fmtid="{D5CDD505-2E9C-101B-9397-08002B2CF9AE}" pid="8" name="MSIP_Label_6bd9ddd1-4d20-43f6-abfa-fc3c07406f94_ContentBits">
    <vt:lpwstr>0</vt:lpwstr>
  </property>
</Properties>
</file>