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147DD9" w:rsidRPr="00147DD9" w14:paraId="4E2AF859" w14:textId="77777777" w:rsidTr="007971DF">
        <w:tc>
          <w:tcPr>
            <w:tcW w:w="9072" w:type="dxa"/>
            <w:shd w:val="pct15" w:color="auto" w:fill="FFFFFF"/>
          </w:tcPr>
          <w:p w14:paraId="7D862FBE" w14:textId="77777777" w:rsidR="00147DD9" w:rsidRPr="00147DD9" w:rsidRDefault="00147DD9" w:rsidP="00147DD9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1.1.4.</w:t>
            </w:r>
          </w:p>
          <w:p w14:paraId="1FE27839" w14:textId="77777777" w:rsidR="00147DD9" w:rsidRPr="00147DD9" w:rsidRDefault="00147DD9" w:rsidP="00147DD9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z w:val="40"/>
                <w:szCs w:val="20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Formulár doplňujúcich informácií o pomoci týkajúcej sa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b/>
                <w:smallCaps/>
                <w:sz w:val="28"/>
              </w:rPr>
              <w:t>agroenvironmentálno-klimatických záväzkov</w:t>
            </w:r>
          </w:p>
        </w:tc>
      </w:tr>
    </w:tbl>
    <w:p w14:paraId="61865FC6" w14:textId="77777777" w:rsidR="00147DD9" w:rsidRPr="00147DD9" w:rsidRDefault="00147DD9" w:rsidP="00147DD9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0"/>
          <w:lang w:eastAsia="en-GB"/>
        </w:rPr>
      </w:pPr>
    </w:p>
    <w:p w14:paraId="7B1508EA" w14:textId="5665BAED" w:rsidR="00147DD9" w:rsidRDefault="00147DD9" w:rsidP="00147DD9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  <w:sz w:val="24"/>
        </w:rPr>
        <w:t>Tento formulár sa musí použiť na notifikáciu všetkých opatrení štátnej pomoci na podporu metód poľnohospodárskej výroby zameraných na ochranu životného prostredia a zachovanie vidieka (agroenvironmentálno-klimatické záväzky) podľa časti II oddielu 1.1.4 Usmernení o štátnej pomoci v odvetviach poľnohospodárstva a lesného hospodárstva a vo vidieckych oblastiach (ďalej len „usmernenia“).</w:t>
      </w:r>
    </w:p>
    <w:p w14:paraId="7103FEFA" w14:textId="77777777" w:rsidR="00C458B5" w:rsidRPr="00147DD9" w:rsidRDefault="00C458B5" w:rsidP="00147DD9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  <w:sz w:val="24"/>
        </w:rPr>
        <w:t>Okrem tohto formulára vyplňte v záujme preukázania všeobecných podmienok oprávnenosti na štátnu pomoc aj všeobecný informačný formulár určený na notifikáciu štátnej pomoci v odvetví poľnohospodárstva a lesného hospodárstva a vo vidieckych oblastiach.</w:t>
      </w:r>
    </w:p>
    <w:p w14:paraId="4159B455" w14:textId="77777777" w:rsidR="00147DD9" w:rsidRPr="00147DD9" w:rsidRDefault="00147DD9" w:rsidP="00147D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67EFEE" w14:textId="77777777" w:rsidR="005842A0" w:rsidRPr="00470801" w:rsidRDefault="005842A0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Poskytuje sa pomoc iba podnikom a skupinám podnikov pôsobiacim v poľnohospodárskej prvovýrobe, ktoré sa dobrovoľne zaviažu vykonávať operácie pozostávajúce z jedného alebo viacerých agroenvironmentálno-klimatických záväzkov?</w:t>
      </w:r>
    </w:p>
    <w:p w14:paraId="136C4924" w14:textId="77777777" w:rsidR="005842A0" w:rsidRDefault="005842A0" w:rsidP="0058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3EAF16" w14:textId="77777777" w:rsidR="005842A0" w:rsidRPr="00147DD9" w:rsidRDefault="005842A0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BCFC3FF" w14:textId="77777777" w:rsidR="005842A0" w:rsidRDefault="005842A0" w:rsidP="0058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9EE1C7" w14:textId="77777777" w:rsidR="00147DD9" w:rsidRPr="00147DD9" w:rsidRDefault="00470801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Sú podporované opatrenia zamerané na ochranu a podporu potrebných zmien poľnohospodárskych postupov, ktoré pozitívne prispievajú k ochrane životného prostredia a klímy?</w:t>
      </w:r>
    </w:p>
    <w:p w14:paraId="76488ED1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9BEE1F" w14:textId="77777777" w:rsidR="00147DD9" w:rsidRDefault="00147DD9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10B0163" w14:textId="77777777" w:rsidR="005842A0" w:rsidRDefault="005842A0" w:rsidP="00147DD9">
      <w:pPr>
        <w:autoSpaceDE w:val="0"/>
        <w:autoSpaceDN w:val="0"/>
        <w:adjustRightInd w:val="0"/>
        <w:spacing w:after="0" w:line="240" w:lineRule="auto"/>
        <w:ind w:left="567" w:firstLine="15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4122E8" w14:textId="77777777" w:rsidR="005842A0" w:rsidRDefault="005842A0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Uveďte, či dobrovoľné záväzky, na ktoré sa pomoc poskytuje, presahujú:</w:t>
      </w:r>
    </w:p>
    <w:p w14:paraId="33E50682" w14:textId="77777777" w:rsidR="005842A0" w:rsidRDefault="005842A0" w:rsidP="001B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7761A" w14:textId="77777777" w:rsidR="005842A0" w:rsidRPr="001B0E7D" w:rsidRDefault="005842A0" w:rsidP="00C458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príslušné povinné požiadavky týkajúce sa hospodárenia a normy dobrého poľnohospodárskeho a environmentálneho stavu stanovené v hlave III kapitole I oddiele 2 nariadenia (EÚ) 2021/2115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</w:rPr>
        <w:t>;</w:t>
      </w:r>
    </w:p>
    <w:p w14:paraId="0EBAAB39" w14:textId="77777777" w:rsidR="005842A0" w:rsidRPr="001B0E7D" w:rsidRDefault="005842A0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477337" w14:textId="77777777" w:rsidR="005842A0" w:rsidRPr="001B0E7D" w:rsidRDefault="005842A0" w:rsidP="00C458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príslušné minimálne požiadavky na používanie hnojív a prípravkov na ochranu rastlín, ako aj iné príslušné povinné požiadavky stanovené vo vnútroštátnych právnych predpisoch a v práve Únie;</w:t>
      </w:r>
    </w:p>
    <w:p w14:paraId="121BBFBA" w14:textId="77777777" w:rsidR="005842A0" w:rsidRPr="001B0E7D" w:rsidRDefault="005842A0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9705A1" w14:textId="77777777" w:rsidR="005842A0" w:rsidRPr="007127E8" w:rsidRDefault="005842A0" w:rsidP="00E9168A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podmienky stanovené na udržiavanie poľnohospodárskej plochy v súlade s článkom 4 ods. 2 písm. b) nariadenia (EÚ) 2021/2115.</w:t>
      </w:r>
    </w:p>
    <w:p w14:paraId="35BFE122" w14:textId="77777777" w:rsidR="00022923" w:rsidRDefault="00022923" w:rsidP="001B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CA18E" w14:textId="77777777" w:rsidR="00022923" w:rsidRPr="00022923" w:rsidRDefault="00022923" w:rsidP="00E9168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podľa bodu 201 usmernení musia byť v notifikácii Komisii uvedené všetky takéto povinné normy a požiadavky.</w:t>
      </w:r>
    </w:p>
    <w:p w14:paraId="543E9402" w14:textId="77777777" w:rsidR="007C418A" w:rsidRPr="007127E8" w:rsidRDefault="007C418A" w:rsidP="00712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C0FF3E" w14:textId="77777777" w:rsidR="007C418A" w:rsidRPr="007127E8" w:rsidRDefault="00C57AFB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Ak sa vo vnútroštátnych právnych predpisoch ukladajú normy a požiadavky na používanie hnojív a prípravkov na ochranu rastlín, ktoré presahujú rámec </w:t>
      </w:r>
      <w:r>
        <w:rPr>
          <w:rFonts w:ascii="Times New Roman" w:hAnsi="Times New Roman"/>
          <w:sz w:val="24"/>
        </w:rPr>
        <w:lastRenderedPageBreak/>
        <w:t>zodpovedajúcich minimálnych požiadaviek stanovených v práve Únie, poskytuje sa pomoc na záväzky prispievajúce k dodržiavaniu takýchto vnútroštátnych noriem a požiadaviek?</w:t>
      </w:r>
    </w:p>
    <w:p w14:paraId="2A0CEAA8" w14:textId="77777777" w:rsidR="007C418A" w:rsidRDefault="007C418A" w:rsidP="00712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4C92EFB2" w14:textId="77777777" w:rsidR="007C418A" w:rsidRDefault="007C418A" w:rsidP="007127E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C025023" w14:textId="77777777" w:rsidR="007C418A" w:rsidRPr="007127E8" w:rsidRDefault="007C418A" w:rsidP="00712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C92BB4" w14:textId="77777777" w:rsidR="005842A0" w:rsidRPr="001B0E7D" w:rsidRDefault="007C418A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na otázku 4 tohto formulára doplňujúcich informácií odpovedali áno, poskytne sa takáto pomoc na maximálne obdobie 24 mesiacov od dátumu, keď sa uvedené normy a požiadavky stanú pre daný podnik povinnými?</w:t>
      </w:r>
    </w:p>
    <w:p w14:paraId="239E5BD4" w14:textId="77777777" w:rsidR="001B0E7D" w:rsidRDefault="001B0E7D" w:rsidP="001B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0D3599C7" w14:textId="77777777" w:rsidR="001B0E7D" w:rsidRDefault="001B0E7D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C591EE3" w14:textId="77777777" w:rsidR="001B0E7D" w:rsidRPr="001B0E7D" w:rsidRDefault="001B0E7D" w:rsidP="001B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02E220" w14:textId="77777777" w:rsidR="00C74382" w:rsidRPr="00C74382" w:rsidRDefault="00F14730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Majú podniky, ktoré vykonávajú operácie v rámci tohto oddielu usmernení, prístup k príslušným poznatkom a informáciám potrebným na vykonávanie takýchto operácií, aby bola pre všetkých, ktorí to potrebujú, dostupná vhodná odborná príprava a aby bol k dispozícii prístup k odborným poznatkom na pomoc poľnohospodárom, ktorí sa zaviazali zmeniť svoje systémy výroby?</w:t>
      </w:r>
    </w:p>
    <w:p w14:paraId="23A9C28A" w14:textId="77777777" w:rsidR="00C74382" w:rsidRPr="00C74382" w:rsidRDefault="00C74382" w:rsidP="00C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98E49A" w14:textId="77777777" w:rsidR="00C74382" w:rsidRDefault="00C74382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E86B1D2" w14:textId="77777777" w:rsidR="00C74382" w:rsidRDefault="00C74382" w:rsidP="00C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60C93E" w14:textId="77777777" w:rsidR="00C74382" w:rsidRPr="00340C1F" w:rsidRDefault="00340C1F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Prijímajú sa záväzky na obdobie piatich až siedmich rokov?</w:t>
      </w:r>
    </w:p>
    <w:p w14:paraId="6C14FE0D" w14:textId="77777777" w:rsidR="00340C1F" w:rsidRDefault="00340C1F" w:rsidP="00340C1F">
      <w:pPr>
        <w:autoSpaceDE w:val="0"/>
        <w:autoSpaceDN w:val="0"/>
        <w:adjustRightInd w:val="0"/>
        <w:spacing w:after="0" w:line="240" w:lineRule="auto"/>
        <w:jc w:val="both"/>
      </w:pPr>
    </w:p>
    <w:p w14:paraId="7C633134" w14:textId="77777777" w:rsidR="00340C1F" w:rsidRDefault="00340C1F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4639B18" w14:textId="77777777" w:rsidR="00340C1F" w:rsidRDefault="00340C1F" w:rsidP="00340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419D4A" w14:textId="77777777" w:rsidR="00BD59CE" w:rsidRDefault="00BD59CE" w:rsidP="00BD59C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dĺžku obdobia:………………………………………………………………</w:t>
      </w:r>
    </w:p>
    <w:p w14:paraId="7C3C1B36" w14:textId="77777777" w:rsidR="00BD59CE" w:rsidRPr="00340C1F" w:rsidRDefault="00BD59CE" w:rsidP="00340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ECE639" w14:textId="77777777" w:rsidR="00340C1F" w:rsidRPr="00B71CC9" w:rsidRDefault="00676912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sa pomoc poskytuje na záväzky prijaté na obdobie viac ako sedem rokov, je takéto dlhšie obdobie potrebné na dosiahnutie alebo udržanie požadovaných environmentálnych prínosov?</w:t>
      </w:r>
    </w:p>
    <w:p w14:paraId="2348D913" w14:textId="77777777" w:rsidR="00EC6FA9" w:rsidRDefault="00EC6FA9" w:rsidP="00EC6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BC6281" w14:textId="77777777" w:rsidR="00EC6FA9" w:rsidRDefault="00EC6FA9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21BB5F9" w14:textId="77777777" w:rsidR="00EC6FA9" w:rsidRDefault="00EC6FA9" w:rsidP="00EC6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0D365" w14:textId="77777777" w:rsidR="00EC6FA9" w:rsidRDefault="00EC6FA9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uveďte dôvod, prečo je dlhšie obdobie potrebné pre tento druh podporovaného (-ých) záväzku (-ov):</w:t>
      </w:r>
    </w:p>
    <w:p w14:paraId="325A9D8A" w14:textId="77777777" w:rsidR="00EC6FA9" w:rsidRDefault="00EC6FA9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95A746C" w14:textId="77777777" w:rsidR="00B71CC9" w:rsidRDefault="00B71CC9" w:rsidP="00172C68">
      <w:pPr>
        <w:autoSpaceDE w:val="0"/>
        <w:autoSpaceDN w:val="0"/>
        <w:adjustRightInd w:val="0"/>
        <w:spacing w:after="0" w:line="240" w:lineRule="auto"/>
        <w:ind w:left="567"/>
        <w:jc w:val="both"/>
        <w:rPr>
          <w:color w:val="000000"/>
          <w:shd w:val="clear" w:color="auto" w:fill="FFFFFF"/>
        </w:rPr>
      </w:pPr>
    </w:p>
    <w:p w14:paraId="7E314366" w14:textId="77777777" w:rsidR="00EC6FA9" w:rsidRPr="007127E8" w:rsidRDefault="00172C68" w:rsidP="00172C6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Upozorňujeme vás, že ak je to nevyhnutné na dosiahnutie alebo udržanie požadovaných environmentálnych prínosov, podľa bodu 204 usmernení môžu členské štáty v prípade konkrétnych druhov záväzkov určiť dlhšie obdobie, a to aj tak, že po uplynutí počiatočného obdobia umožnia každoročné predlžovanie príslušných záväzkov</w:t>
      </w:r>
    </w:p>
    <w:p w14:paraId="42F39D09" w14:textId="77777777" w:rsidR="00172C68" w:rsidRPr="00B71CC9" w:rsidRDefault="00172C68" w:rsidP="00172C6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C3B36" w14:textId="77777777" w:rsidR="00047DB1" w:rsidRPr="007127E8" w:rsidRDefault="00EC6FA9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Poskytuje sa pomoc na záväzky prijaté na obdobie kratšie ako päť rokov?</w:t>
      </w:r>
    </w:p>
    <w:p w14:paraId="19D85166" w14:textId="77777777" w:rsidR="00047DB1" w:rsidRDefault="00047DB1" w:rsidP="00712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B7742C" w14:textId="77777777" w:rsidR="00047DB1" w:rsidRDefault="00047DB1" w:rsidP="00047DB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AF085B8" w14:textId="77777777" w:rsidR="00047DB1" w:rsidRPr="007127E8" w:rsidRDefault="00047DB1" w:rsidP="00712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68D21" w14:textId="77777777" w:rsidR="00047DB1" w:rsidRPr="00C358A1" w:rsidRDefault="00047DB1" w:rsidP="007127E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uveďte, na aký druh záväzkov sa pomoc poskytuje:</w:t>
      </w:r>
    </w:p>
    <w:p w14:paraId="55A1080C" w14:textId="77777777" w:rsidR="0043040C" w:rsidRPr="004B1A71" w:rsidRDefault="0043040C" w:rsidP="007127E8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14:paraId="1DBEA521" w14:textId="77777777" w:rsidR="00EC6FA9" w:rsidRPr="0043040C" w:rsidRDefault="00047DB1" w:rsidP="007127E8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na ochranu, udržateľné využívanie a rozvoj genetických zdrojov;</w:t>
      </w:r>
    </w:p>
    <w:p w14:paraId="35D1A4A0" w14:textId="77777777" w:rsidR="00EC6FA9" w:rsidRPr="0043040C" w:rsidRDefault="00EC6FA9" w:rsidP="0043040C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A56C76" w14:textId="77777777" w:rsidR="00047DB1" w:rsidRPr="0043040C" w:rsidRDefault="00047DB1" w:rsidP="0043040C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color w:val="000000"/>
          <w:sz w:val="24"/>
          <w:shd w:val="clear" w:color="auto" w:fill="FFFFFF"/>
        </w:rPr>
        <w:t>na nové záväzky priamo nadväzujúce na záväzok splnený v počiatočnom období;</w:t>
      </w:r>
    </w:p>
    <w:p w14:paraId="533EB8A4" w14:textId="77777777" w:rsidR="00047DB1" w:rsidRPr="0043040C" w:rsidRDefault="00047DB1" w:rsidP="0043040C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3E5A40" w14:textId="77777777" w:rsidR="00047DB1" w:rsidRDefault="00047DB1" w:rsidP="0043040C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 iných riadne odôvodnených prípadoch.</w:t>
      </w:r>
    </w:p>
    <w:p w14:paraId="7B190796" w14:textId="77777777" w:rsidR="0043040C" w:rsidRDefault="0043040C" w:rsidP="0043040C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450A7E" w14:textId="77777777" w:rsidR="0043040C" w:rsidRDefault="00510356" w:rsidP="0051035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sa pomoc poskytuje „v iných riadne odôvodnených prípadoch“, preukážte potrebu kratšieho obdobia:</w:t>
      </w:r>
    </w:p>
    <w:p w14:paraId="15B04723" w14:textId="77777777" w:rsidR="0043040C" w:rsidRPr="0043040C" w:rsidRDefault="0043040C" w:rsidP="0043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6A5C882" w14:textId="77777777" w:rsidR="00047DB1" w:rsidRDefault="00047DB1" w:rsidP="008B4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09DEF2" w14:textId="77777777" w:rsidR="00510356" w:rsidRDefault="00510356" w:rsidP="0051035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dĺžku takéhoto kratšieho obdobia:</w:t>
      </w:r>
    </w:p>
    <w:p w14:paraId="32BABAD6" w14:textId="77777777" w:rsidR="00510356" w:rsidRPr="0043040C" w:rsidRDefault="00510356" w:rsidP="0051035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09E842D" w14:textId="77777777" w:rsidR="00510356" w:rsidRDefault="00510356" w:rsidP="0051035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41836C" w14:textId="77777777" w:rsidR="00047DB1" w:rsidRDefault="00510356" w:rsidP="0051035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v súlade s bodom 204 usmernení musí takéto kratšie obdobie trvať aspoň jeden rok.</w:t>
      </w:r>
    </w:p>
    <w:p w14:paraId="185B8E3E" w14:textId="77777777" w:rsidR="00510356" w:rsidRPr="00510356" w:rsidRDefault="00510356" w:rsidP="008B4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6CA95B" w14:textId="77777777" w:rsidR="00EC6FA9" w:rsidRPr="00955E72" w:rsidRDefault="00955E72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záväzky v súvislosti s rozšírením chovu hospodárskych zvierat spĺňajú aspoň tieto podmienky:</w:t>
      </w:r>
    </w:p>
    <w:p w14:paraId="62A9D0D0" w14:textId="77777777" w:rsidR="00147DD9" w:rsidRPr="00955E72" w:rsidRDefault="00147DD9" w:rsidP="00147DD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tab/>
      </w:r>
    </w:p>
    <w:p w14:paraId="27BCA3B7" w14:textId="77777777" w:rsidR="00147DD9" w:rsidRPr="00955E72" w:rsidRDefault="00147DD9" w:rsidP="00C458B5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s cieľom zabrániť nadmernému, ako aj nedostatočnému spásaniu sa musí obhospodarovať a udržiavať celá spásaná plocha podniku;</w:t>
      </w:r>
    </w:p>
    <w:p w14:paraId="0AE16964" w14:textId="77777777" w:rsidR="00147DD9" w:rsidRPr="00955E72" w:rsidRDefault="00147DD9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94E6DE" w14:textId="77777777" w:rsidR="00147DD9" w:rsidRPr="00955E72" w:rsidRDefault="00147DD9" w:rsidP="00C458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intenzita chovu hospodárskych zvierat sa musí stanoviť s prihliadnutím na všetky pasúce sa zvieratá v rámci daného poľnohospodárskeho podniku alebo, v prípade záväzku obmedziť presakovanie živín do pôdy, s prihliadnutím na všetky zvieratá v danom poľnohospodárskom podniku, na ktoré sa vzťahuje predmetný záväzok.</w:t>
      </w:r>
    </w:p>
    <w:p w14:paraId="5F697557" w14:textId="77777777" w:rsidR="00147DD9" w:rsidRDefault="00147DD9" w:rsidP="00147DD9">
      <w:pPr>
        <w:spacing w:after="0" w:line="240" w:lineRule="auto"/>
        <w:ind w:left="1440" w:hanging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C76843" w14:textId="77777777" w:rsidR="00E57E7F" w:rsidRPr="00E57E7F" w:rsidRDefault="00E57E7F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záväzky chovať miestne plemená, ktorých chov je ohrozený, alebo záväzky zachovať rastlinné genetické zdroje, ktoré sú ohrozené genetickou eróziou, si vyžadujú jednu z týchto činností:</w:t>
      </w:r>
    </w:p>
    <w:p w14:paraId="5BF7D47D" w14:textId="77777777" w:rsidR="00E57E7F" w:rsidRPr="00147DD9" w:rsidRDefault="00E57E7F" w:rsidP="00147DD9">
      <w:pPr>
        <w:spacing w:after="0" w:line="240" w:lineRule="auto"/>
        <w:ind w:left="1440" w:hanging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9FACE1" w14:textId="77777777" w:rsidR="00147DD9" w:rsidRPr="00E57E7F" w:rsidRDefault="00147DD9" w:rsidP="00C458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chovať hospodárske zvieratá miestnych plemien, ktorých chov je ohrozený a ktoré sú geneticky prispôsobené jednému alebo viacerým tradičným systémom chovu alebo životnému prostrediu v danej krajine;</w:t>
      </w:r>
    </w:p>
    <w:p w14:paraId="01B81C0B" w14:textId="77777777" w:rsidR="00147DD9" w:rsidRPr="00E57E7F" w:rsidRDefault="00147DD9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187F7B" w14:textId="77777777" w:rsidR="00147DD9" w:rsidRPr="00E57E7F" w:rsidRDefault="00147DD9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zachovať rastlinné genetické zdroje prirodzene prispôsobené miestnym a regionálnym podmienkam, ktoré sú ohrozené genetickou eróziou.</w:t>
      </w:r>
    </w:p>
    <w:p w14:paraId="39DF4EFA" w14:textId="77777777" w:rsidR="00147DD9" w:rsidRDefault="00147DD9" w:rsidP="00147DD9">
      <w:pPr>
        <w:spacing w:after="0" w:line="240" w:lineRule="auto"/>
        <w:ind w:left="1440" w:hanging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E5ADA1" w14:textId="77777777" w:rsidR="00443110" w:rsidRPr="00443110" w:rsidRDefault="00443110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na získanie pomoci sú oprávnené iba tieto druhy hospodárskych zvierat: hovädzí dobytok, ovce, kozy, zvieratá z čeľade koňovité, ošípané, vtáky, králiky a včely:</w:t>
      </w:r>
    </w:p>
    <w:p w14:paraId="7442C709" w14:textId="77777777" w:rsidR="00443110" w:rsidRDefault="00443110" w:rsidP="00147DD9">
      <w:pPr>
        <w:spacing w:after="0" w:line="240" w:lineRule="auto"/>
        <w:ind w:left="1440" w:hanging="720"/>
      </w:pPr>
    </w:p>
    <w:p w14:paraId="40DAA466" w14:textId="77777777" w:rsidR="00443110" w:rsidRDefault="00443110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EE1A7E9" w14:textId="77777777" w:rsidR="00443110" w:rsidRDefault="00443110" w:rsidP="00443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F35ABA" w14:textId="77777777" w:rsidR="00443110" w:rsidRDefault="00443110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Uveďte, ktoré druhy hospodárskych zvierat sú oprávnené na získanie pomoci:</w:t>
      </w:r>
    </w:p>
    <w:p w14:paraId="7FEC7D8A" w14:textId="77777777" w:rsidR="00443110" w:rsidRDefault="00443110" w:rsidP="00C458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E990D85" w14:textId="77777777" w:rsidR="00443110" w:rsidRDefault="00443110" w:rsidP="00147DD9">
      <w:pPr>
        <w:spacing w:after="0" w:line="240" w:lineRule="auto"/>
        <w:ind w:left="1440" w:hanging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A880DB" w14:textId="77777777" w:rsidR="00443110" w:rsidRPr="004C0F9B" w:rsidRDefault="003A43E1" w:rsidP="007127E8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sa pomoc poskytuje na miestne plemená, ktorých chov sa považuje sa ohrozený, sú splnené tieto podmienky?</w:t>
      </w:r>
    </w:p>
    <w:p w14:paraId="1B642DB9" w14:textId="77777777" w:rsidR="00443110" w:rsidRPr="004C0F9B" w:rsidRDefault="00443110" w:rsidP="00147DD9">
      <w:pPr>
        <w:spacing w:after="0" w:line="240" w:lineRule="auto"/>
        <w:ind w:left="1440" w:hanging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3AD5B7" w14:textId="77777777" w:rsidR="004C0F9B" w:rsidRPr="004C0F9B" w:rsidRDefault="00147DD9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a) je uvedený počet príslušných chovných samíc na celoštátnej úrovni; </w:t>
      </w:r>
    </w:p>
    <w:p w14:paraId="0525C093" w14:textId="77777777" w:rsidR="004C0F9B" w:rsidRPr="004C0F9B" w:rsidRDefault="004C0F9B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597AE2" w14:textId="77777777" w:rsidR="004C0F9B" w:rsidRPr="004C0F9B" w:rsidRDefault="004C0F9B" w:rsidP="004B1A7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b) tento počet a stav ohrozenosti uvedených plemien osvedčí riadne uznaný príslušný vedecký orgán;</w:t>
      </w:r>
    </w:p>
    <w:p w14:paraId="47CBDB69" w14:textId="77777777" w:rsidR="004C0F9B" w:rsidRPr="004C0F9B" w:rsidRDefault="004C0F9B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AD2488" w14:textId="77777777" w:rsidR="004C0F9B" w:rsidRPr="004C0F9B" w:rsidRDefault="004C0F9B" w:rsidP="004B1A7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c) riadne uznaný príslušný technický orgán vedie a aktualizuje záznamy v plemennej knihe pre dané plemeno;</w:t>
      </w:r>
    </w:p>
    <w:p w14:paraId="775F69FE" w14:textId="77777777" w:rsidR="004C0F9B" w:rsidRPr="004C0F9B" w:rsidRDefault="004C0F9B" w:rsidP="004B1A71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722764" w14:textId="77777777" w:rsidR="00C358A1" w:rsidRDefault="004C0F9B" w:rsidP="004B1A71">
      <w:pPr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</w:rPr>
        <w:t>d) príslušné orgány majú potrebné zručnosti a znalosti na určenie ohrozených plemien zvierat.</w:t>
      </w:r>
    </w:p>
    <w:p w14:paraId="105DF362" w14:textId="77777777" w:rsidR="004B1A71" w:rsidRDefault="004B1A71" w:rsidP="00C358A1">
      <w:pPr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7F4EB816" w14:textId="77777777" w:rsidR="00147DD9" w:rsidRPr="004C0F9B" w:rsidRDefault="00C358A1" w:rsidP="00C358A1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9F91AC2" w14:textId="77777777" w:rsidR="00C358A1" w:rsidRDefault="00C358A1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843435" w14:textId="77777777" w:rsidR="002A4B86" w:rsidRDefault="004C0F9B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musia byť splnené všetky uvedené podmienky.</w:t>
      </w:r>
    </w:p>
    <w:p w14:paraId="4ED3A3C7" w14:textId="77777777" w:rsidR="002A4B86" w:rsidRDefault="002A4B86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3EF0EC" w14:textId="77777777" w:rsidR="005C531F" w:rsidRPr="005C531F" w:rsidRDefault="005C531F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na to, aby Komisia mohla posúdiť a schváliť takúto pomoc, podľa bodu 209 usmernení musia byť v notifikácii Komisii opísané a uvedené podmienky, na základe ktorých možno považovať miestne plemená, na ktoré sa pomoc poskytuje, za plemená, ktorých chov je ohrozený.</w:t>
      </w:r>
    </w:p>
    <w:p w14:paraId="11AD493B" w14:textId="77777777" w:rsidR="005C531F" w:rsidRDefault="005C531F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DF1874" w14:textId="77777777" w:rsidR="002A4B86" w:rsidRPr="00AD68E9" w:rsidRDefault="00E10FDD" w:rsidP="00C458B5">
      <w:pPr>
        <w:pStyle w:val="Text1"/>
        <w:numPr>
          <w:ilvl w:val="0"/>
          <w:numId w:val="3"/>
        </w:numPr>
        <w:tabs>
          <w:tab w:val="left" w:pos="567"/>
          <w:tab w:val="left" w:pos="2977"/>
        </w:tabs>
        <w:ind w:left="567" w:hanging="567"/>
        <w:jc w:val="both"/>
      </w:pPr>
      <w:bookmarkStart w:id="0" w:name="_Ref80550039"/>
      <w:r>
        <w:t>Ak sa pomoc poskytuje na genetické zdroje, ktoré sú ohrozené genetickou eróziou, uvádza sa v notifikácii dostatočný dôkaz o genetickej erózii založený na vedeckých výsledkoch alebo ukazovateľoch týkajúcich sa zníženia výskytu krajových alebo primitívnych miestnych odrôd, ich populačnej rozmanitosti a v relevantných prípadoch zmien v prevládajúcich poľnohospodárskych postupoch na miestnej úrovni</w:t>
      </w:r>
      <w:bookmarkEnd w:id="0"/>
      <w:r>
        <w:t>?</w:t>
      </w:r>
    </w:p>
    <w:p w14:paraId="6CB9E092" w14:textId="77777777" w:rsidR="002A4B86" w:rsidRDefault="002A4B86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E9375A" w14:textId="77777777" w:rsidR="00F552BA" w:rsidRDefault="00F552BA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AFD4A57" w14:textId="77777777" w:rsidR="00F552BA" w:rsidRDefault="00F552BA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19D2DB" w14:textId="77777777" w:rsidR="002A4B86" w:rsidRPr="00AD68E9" w:rsidRDefault="00F552BA" w:rsidP="00F552BA">
      <w:pPr>
        <w:pStyle w:val="Text1"/>
        <w:tabs>
          <w:tab w:val="left" w:pos="1418"/>
          <w:tab w:val="left" w:pos="1560"/>
          <w:tab w:val="left" w:pos="2977"/>
        </w:tabs>
        <w:ind w:left="567"/>
        <w:jc w:val="both"/>
      </w:pPr>
      <w:r>
        <w:t>Upozorňujeme vás, že podľa bodu 210 usmernení možno rastlinné genetické zdroje považovať za ohrozené genetickou eróziou pod podmienkou, že sa v notifikácii Komisii opíše a uvedie dostatočný dôkaz o genetickej erózii založený na vedeckých výsledkoch alebo ukazovateľoch týkajúcich sa zníženia výskytu krajových alebo primitívnych miestnych odrôd, ich populačnej rozmanitosti a v relevantných prípadoch zmien v prevládajúcich poľnohospodárskych postupoch na miestnej úrovni.</w:t>
      </w:r>
    </w:p>
    <w:p w14:paraId="73BB00EF" w14:textId="77777777" w:rsidR="00147DD9" w:rsidRDefault="00147DD9" w:rsidP="004C0F9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681FC7CF" w14:textId="77777777" w:rsidR="000464C9" w:rsidRPr="00910916" w:rsidRDefault="000464C9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Poskytuje sa pomoc na účely ochrany, udržateľného využívania a rozvoja genetických zdrojov v poľnohospodárstve v prípade operácií, na ktoré sa nevzťahujú body 198 až 210 usmernení?</w:t>
      </w:r>
    </w:p>
    <w:p w14:paraId="26413B20" w14:textId="77777777" w:rsidR="000464C9" w:rsidRPr="00910916" w:rsidRDefault="000464C9" w:rsidP="00910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85F5D2" w14:textId="77777777" w:rsidR="000464C9" w:rsidRPr="00CB4396" w:rsidRDefault="000464C9" w:rsidP="000464C9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1343FCC" w14:textId="77777777" w:rsidR="000464C9" w:rsidRPr="00910916" w:rsidRDefault="000464C9" w:rsidP="00910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804C08" w14:textId="77777777" w:rsidR="000464C9" w:rsidRPr="00910916" w:rsidRDefault="000464C9" w:rsidP="00CB439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uveďte ďalšie podrobnosti o podporovaných operáciách:</w:t>
      </w:r>
    </w:p>
    <w:p w14:paraId="30F176FE" w14:textId="77777777" w:rsidR="00CB4396" w:rsidRDefault="00CB4396" w:rsidP="00CB4396">
      <w:pPr>
        <w:spacing w:after="0" w:line="240" w:lineRule="auto"/>
        <w:ind w:left="567"/>
        <w:jc w:val="both"/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A6ECEEE" w14:textId="77777777" w:rsidR="000464C9" w:rsidRDefault="000464C9" w:rsidP="00910916">
      <w:pPr>
        <w:spacing w:after="0" w:line="240" w:lineRule="auto"/>
        <w:jc w:val="both"/>
      </w:pPr>
    </w:p>
    <w:p w14:paraId="48056670" w14:textId="77777777" w:rsidR="00910916" w:rsidRDefault="00910916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Poskytuje sa pomoc na kolektívne systémy a systémy platieb založených na výsledkoch, ako sú schémy uhlíkového poľnohospodárstva?</w:t>
      </w:r>
    </w:p>
    <w:p w14:paraId="1237B8B2" w14:textId="77777777" w:rsidR="00910916" w:rsidRDefault="00910916" w:rsidP="00910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54E9D" w14:textId="77777777" w:rsidR="00910916" w:rsidRPr="00CB4396" w:rsidRDefault="00910916" w:rsidP="00910916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C95E7F5" w14:textId="77777777" w:rsidR="00910916" w:rsidRPr="00FD54A1" w:rsidRDefault="00910916" w:rsidP="00910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F04C7C" w14:textId="77777777" w:rsidR="00790B56" w:rsidRPr="00910916" w:rsidRDefault="00790B56" w:rsidP="00790B5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uveďte ďalšie podrobnosti o podporovaných operáciách:</w:t>
      </w:r>
    </w:p>
    <w:p w14:paraId="36B330E0" w14:textId="77777777" w:rsidR="00910916" w:rsidRPr="00FD54A1" w:rsidRDefault="00790B56" w:rsidP="00790B5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366D6B9" w14:textId="77777777" w:rsidR="004B1A71" w:rsidRDefault="004B1A71" w:rsidP="007127E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B482669" w14:textId="77777777" w:rsidR="004B1A71" w:rsidRPr="004B1A71" w:rsidRDefault="004B1A71" w:rsidP="007127E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Upozorňujeme vás, že podľa bodu 212 usmernení sa pomoc podľa oddielu 1.1.4 usmernení môže týkať kolektívnych systémov a systémov platieb založených na výsledkoch, ako sú schémy uhlíkového poľnohospodárstva, s cieľom povzbudiť poľnohospodárov, aby sa usilovali o výrazné zlepšenie kvality životného prostredia vo väčšom rozsahu alebo merateľným spôsobom.</w:t>
      </w:r>
    </w:p>
    <w:p w14:paraId="49F6749E" w14:textId="77777777" w:rsidR="000464C9" w:rsidRDefault="000464C9" w:rsidP="007127E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0EE4AF96" w14:textId="77777777" w:rsidR="00FD54A1" w:rsidRPr="00B64E71" w:rsidRDefault="00FD54A1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oprávnené náklady na operácie iné ako ochrana genetických zdrojov:</w:t>
      </w:r>
    </w:p>
    <w:p w14:paraId="7630CD54" w14:textId="77777777" w:rsidR="00FD54A1" w:rsidRDefault="00FD54A1" w:rsidP="00910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4942066D" w14:textId="77777777" w:rsidR="00FD54A1" w:rsidRPr="00FD54A1" w:rsidRDefault="00FD54A1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odškodnenie príjemcov za všetky alebo čiastočné dodatočné náklady vzniknuté v dôsledku prijatých záväzkov;</w:t>
      </w:r>
    </w:p>
    <w:p w14:paraId="04FD67A1" w14:textId="77777777" w:rsidR="00FD54A1" w:rsidRPr="00FD54A1" w:rsidRDefault="00FD54A1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7D51C6" w14:textId="77777777" w:rsidR="00FD54A1" w:rsidRDefault="00FD54A1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straty príjmu vzniknuté v dôsledku prijatých záväzkov;</w:t>
      </w:r>
    </w:p>
    <w:p w14:paraId="4AB6DAF1" w14:textId="77777777" w:rsidR="00912159" w:rsidRDefault="00912159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FA2A5D" w14:textId="77777777" w:rsidR="00557BF6" w:rsidRPr="00557BF6" w:rsidRDefault="00557BF6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sz w:val="24"/>
        </w:rPr>
      </w:r>
      <w:r w:rsidR="0033024D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transakčné náklady.</w:t>
      </w:r>
    </w:p>
    <w:p w14:paraId="0F381152" w14:textId="77777777" w:rsidR="00557BF6" w:rsidRDefault="00557BF6" w:rsidP="00C458B5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FD40F7" w14:textId="77777777" w:rsidR="00912159" w:rsidRPr="00912159" w:rsidRDefault="00912159" w:rsidP="0091215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sa pomoc poskytuje aj na investičné náklady súvisiace s agroenvironmentálno-klimatickými záväzkami podľa tohto oddielu, vyplňte formulár doplňujúcich informácií 1.1.1.1 o pomoci na investície do poľnohospodárskych podnikov v súvislosti s poľnohospodárskou prvovýrobou.</w:t>
      </w:r>
    </w:p>
    <w:p w14:paraId="32B23D31" w14:textId="77777777" w:rsidR="00912159" w:rsidRPr="00912159" w:rsidRDefault="00912159" w:rsidP="0091215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E24535" w14:textId="77777777" w:rsidR="00912159" w:rsidRDefault="00912159" w:rsidP="0091215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sa poskytovaním pomoci sledujú iné ciele, ako napríklad odborná príprava a poradenské služby na pomoc poľnohospodárskym výrobcom, vyplňte formulár doplňujúcich informácií 1.1.10 o pomoci na poskytovanie technickej podpory v odvetví poľnohospodárstva.</w:t>
      </w:r>
    </w:p>
    <w:p w14:paraId="5585FC3C" w14:textId="77777777" w:rsidR="00FD54A1" w:rsidRPr="00147DD9" w:rsidRDefault="00FD54A1" w:rsidP="00FD54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2A7EEA" w14:textId="77777777" w:rsidR="00557BF6" w:rsidRDefault="00557BF6" w:rsidP="00557BF6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495386D0" w14:textId="77777777" w:rsidR="00557BF6" w:rsidRDefault="00557BF6" w:rsidP="00557BF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467AF0F" w14:textId="77777777" w:rsidR="00557BF6" w:rsidRPr="00F13FDB" w:rsidRDefault="00557BF6" w:rsidP="00557BF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podľa bodu 220 usmernení nesmie pomoc presiahnuť 100 % oprávnených nákladov.</w:t>
      </w:r>
    </w:p>
    <w:p w14:paraId="38B38F97" w14:textId="77777777" w:rsidR="00557BF6" w:rsidRDefault="00557BF6" w:rsidP="00557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987616" w14:textId="77777777" w:rsidR="00E86933" w:rsidRPr="00147DD9" w:rsidRDefault="004963BA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pomoc sa poskytuje ročne:</w:t>
      </w:r>
    </w:p>
    <w:p w14:paraId="02F708DB" w14:textId="77777777" w:rsidR="00E86933" w:rsidRPr="00147DD9" w:rsidRDefault="00E86933" w:rsidP="00E8693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1B6B62" w14:textId="77777777" w:rsidR="00E86933" w:rsidRPr="00147DD9" w:rsidRDefault="00E86933" w:rsidP="00E869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8F386C9" w14:textId="77777777" w:rsidR="00E86933" w:rsidRPr="00147DD9" w:rsidRDefault="00E86933" w:rsidP="00E869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86CB59" w14:textId="77777777" w:rsidR="002A39E8" w:rsidRPr="007127E8" w:rsidRDefault="00557BF6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sa pomoc poskytuje na transakčné náklady, odôvodnite takéto náklady a podrobne ich opíšte:</w:t>
      </w:r>
    </w:p>
    <w:p w14:paraId="0B33F89E" w14:textId="77777777" w:rsidR="000F346C" w:rsidRPr="00AD6226" w:rsidRDefault="000F346C" w:rsidP="000F346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3D56C5C" w14:textId="77777777" w:rsidR="000F346C" w:rsidRPr="007127E8" w:rsidRDefault="000F346C" w:rsidP="007127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DAAF0A6" w14:textId="77777777" w:rsidR="002A39E8" w:rsidRPr="00AE1FBF" w:rsidRDefault="000F346C" w:rsidP="00734C33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intenzitu pomoci na transakčné náklady:……………………………….</w:t>
      </w:r>
    </w:p>
    <w:p w14:paraId="71DEC101" w14:textId="77777777" w:rsidR="002A39E8" w:rsidRDefault="002A39E8" w:rsidP="007127E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99F461E" w14:textId="77777777" w:rsidR="008972F6" w:rsidRPr="00AD6226" w:rsidRDefault="000F346C" w:rsidP="007127E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podľa bodu 215 usmernení sa z pomoci môžu kryť potrebné transakčné náklady až do výšky 20 % prémie vyplatenej za agroenvironmentálno-klimatické záväzky alebo do výšky 30 %, ak záväzky prijímajú skupiny podnikov.</w:t>
      </w:r>
    </w:p>
    <w:p w14:paraId="3E519F07" w14:textId="77777777" w:rsidR="00AD6226" w:rsidRDefault="00AD6226" w:rsidP="00FD54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5C4E96E0" w14:textId="77777777" w:rsidR="007B6724" w:rsidRPr="008E5B80" w:rsidRDefault="007B6724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Poskytuje sa pomoc na transakčné náklady, ktoré vznikli prijatím agroenvironmentálno-klimatických záväzkov?</w:t>
      </w:r>
    </w:p>
    <w:p w14:paraId="4DFEE637" w14:textId="77777777" w:rsidR="007B6724" w:rsidRPr="008E5B80" w:rsidRDefault="007B6724" w:rsidP="00FD5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D2B9D3" w14:textId="77777777" w:rsidR="007B6724" w:rsidRPr="007B6724" w:rsidRDefault="007B6724" w:rsidP="007B67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D2FB86F" w14:textId="77777777" w:rsidR="007B6724" w:rsidRPr="00D87C8B" w:rsidRDefault="007B6724" w:rsidP="007B67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AC33990" w14:textId="77777777" w:rsidR="007B6724" w:rsidRPr="007B6724" w:rsidRDefault="007B6724" w:rsidP="007B6724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poskytnite presvedčivý dôkaz o takýchto nákladoch, napríklad predložením porovnania nákladov s nákladmi podnikov, ktoré takéto záväzky neprijali:</w:t>
      </w:r>
    </w:p>
    <w:p w14:paraId="3E842ED7" w14:textId="77777777" w:rsidR="007B6724" w:rsidRPr="008E5B80" w:rsidRDefault="007B6724" w:rsidP="007B67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005CCAA" w14:textId="77777777" w:rsidR="007B6724" w:rsidRPr="008E5B80" w:rsidRDefault="007B6724" w:rsidP="00FD5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897871" w14:textId="77777777" w:rsidR="000F346C" w:rsidRDefault="000F346C" w:rsidP="007127E8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Poskytuje sa pomoc na transakčné náklady na pokračovanie záväzkov, ktoré už boli prijaté v minulosti?</w:t>
      </w:r>
    </w:p>
    <w:p w14:paraId="19DE4312" w14:textId="77777777" w:rsidR="000F346C" w:rsidRDefault="000F346C" w:rsidP="007B672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EBFCFF8" w14:textId="77777777" w:rsidR="000F346C" w:rsidRPr="007B6724" w:rsidRDefault="000F346C" w:rsidP="000F346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F9A5368" w14:textId="77777777" w:rsidR="000F346C" w:rsidRDefault="000F346C" w:rsidP="007B672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E7E8F6C" w14:textId="77777777" w:rsidR="000F346C" w:rsidRDefault="000F346C" w:rsidP="007B672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preukážte, že takéto náklady naďalej vznikajú alebo že vznikajú nové transakčné náklady:</w:t>
      </w:r>
    </w:p>
    <w:p w14:paraId="58512FD9" w14:textId="77777777" w:rsidR="000F346C" w:rsidRPr="008E5B80" w:rsidRDefault="000F346C" w:rsidP="000F346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DA57D5C" w14:textId="77777777" w:rsidR="000F346C" w:rsidRDefault="000F346C" w:rsidP="007B672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0C710FC" w14:textId="77777777" w:rsidR="007B6724" w:rsidRPr="007127E8" w:rsidRDefault="007B6724" w:rsidP="007B6724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podľa bodu 216 usmernení Komisia neschváli štátnu pomoc na transakčné náklady na pokračovanie záväzkov, ktoré už v minulosti boli prijaté, ak členský štát nepreukáže, že takéto náklady aj naďalej vznikajú alebo že vznikajú nové transakčné náklady.</w:t>
      </w:r>
    </w:p>
    <w:p w14:paraId="3FE34FDD" w14:textId="77777777" w:rsidR="008E5B80" w:rsidRDefault="008E5B80" w:rsidP="00FD54A1">
      <w:pPr>
        <w:spacing w:after="0" w:line="240" w:lineRule="auto"/>
        <w:jc w:val="both"/>
      </w:pPr>
    </w:p>
    <w:p w14:paraId="0E7BB398" w14:textId="77777777" w:rsidR="00AD6226" w:rsidRPr="003F3E46" w:rsidRDefault="008E5B80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Vypočítavajú sa transakčné náklady na základe priemerných nákladov?</w:t>
      </w:r>
    </w:p>
    <w:p w14:paraId="3AA58DAF" w14:textId="77777777" w:rsidR="008E5B80" w:rsidRPr="003F3E46" w:rsidRDefault="008E5B80" w:rsidP="003F3E4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C3946A4" w14:textId="77777777" w:rsidR="008E5B80" w:rsidRPr="003F3E46" w:rsidRDefault="008E5B80" w:rsidP="003F3E4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C57FA23" w14:textId="77777777" w:rsidR="008E5B80" w:rsidRPr="003F3E46" w:rsidRDefault="008E5B80" w:rsidP="003F3E46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623F499" w14:textId="77777777" w:rsidR="008E5B80" w:rsidRPr="003F3E46" w:rsidRDefault="008E5B80" w:rsidP="003F3E4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preukážte, že najmä v prípade veľkých podnikov nedochádza k nadmernej kompenzácii:</w:t>
      </w:r>
    </w:p>
    <w:p w14:paraId="7C6B49ED" w14:textId="77777777" w:rsidR="003F3E46" w:rsidRPr="003F3E46" w:rsidRDefault="003F3E46" w:rsidP="003F3E4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AFFF9B7" w14:textId="77777777" w:rsidR="003F3E46" w:rsidRPr="003F3E46" w:rsidRDefault="003F3E46" w:rsidP="003F3E4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91BBB9F" w14:textId="77777777" w:rsidR="00F13FDB" w:rsidRPr="003F3E46" w:rsidRDefault="00F13FDB" w:rsidP="00F13FDB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Vypočítavajú sa transakčné náklady na základe priemerných poľnohospodárskych podnikov?</w:t>
      </w:r>
    </w:p>
    <w:p w14:paraId="07F989F3" w14:textId="77777777" w:rsidR="00F13FDB" w:rsidRPr="003F3E46" w:rsidRDefault="00F13FDB" w:rsidP="00F13FD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B2DD1D3" w14:textId="77777777" w:rsidR="00F13FDB" w:rsidRPr="003F3E46" w:rsidRDefault="00F13FDB" w:rsidP="00F13FD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7D73502" w14:textId="77777777" w:rsidR="00F13FDB" w:rsidRPr="003F3E46" w:rsidRDefault="00F13FDB" w:rsidP="00F13FD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619981F" w14:textId="77777777" w:rsidR="00F13FDB" w:rsidRPr="003F3E46" w:rsidRDefault="00F13FDB" w:rsidP="00F13FD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preukážte, že najmä v prípade veľkých podnikov nedochádza k nadmernej kompenzácii:</w:t>
      </w:r>
    </w:p>
    <w:p w14:paraId="6EEDA39E" w14:textId="77777777" w:rsidR="00F13FDB" w:rsidRPr="003F3E46" w:rsidRDefault="00F13FDB" w:rsidP="00F13FD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DAAD3BE" w14:textId="77777777" w:rsidR="00F13FDB" w:rsidRDefault="00F13FDB" w:rsidP="001D64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89F6DE" w14:textId="77777777" w:rsidR="008E5B80" w:rsidRPr="003F3E46" w:rsidRDefault="008E5B80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Potvrďte, že ak sa transakčné náklady vypočítavajú na základe priemerných nákladov a/alebo priemerných poľnohospodárskych podnikov, na účel výpočtu kompenzácie členské štáty zohľadňujú, či príslušné transakčné náklady vznikli na podnik alebo na hektár:</w:t>
      </w:r>
    </w:p>
    <w:p w14:paraId="00D06A22" w14:textId="77777777" w:rsidR="008E5B80" w:rsidRDefault="008E5B80" w:rsidP="00FD54A1">
      <w:pPr>
        <w:spacing w:after="0" w:line="240" w:lineRule="auto"/>
        <w:jc w:val="both"/>
      </w:pPr>
    </w:p>
    <w:p w14:paraId="568458C4" w14:textId="77777777" w:rsidR="008E5B80" w:rsidRPr="007B6724" w:rsidRDefault="008E5B80" w:rsidP="008E5B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E4E3CCF" w14:textId="77777777" w:rsidR="008E5B80" w:rsidRDefault="008E5B80" w:rsidP="00FD54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0A7F9BD5" w14:textId="77777777" w:rsidR="008E5B80" w:rsidRPr="00CE446A" w:rsidRDefault="004C7E22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oprávnené náklady súvisiace s pomocou na operácie na ochranu genetických zdrojov v poľnohospodárstve:</w:t>
      </w:r>
    </w:p>
    <w:p w14:paraId="5C89EA8E" w14:textId="77777777" w:rsidR="004C7E22" w:rsidRPr="00CE446A" w:rsidRDefault="004C7E22" w:rsidP="00FD5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F841EC" w14:textId="77777777" w:rsidR="004C7E22" w:rsidRPr="00CE446A" w:rsidRDefault="004C7E22" w:rsidP="00C458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sz w:val="24"/>
        </w:rPr>
      </w:r>
      <w:r w:rsidR="0033024D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 xml:space="preserve">a) cielené opatrenia: opatrenia týkajúce sa podpory ochrany </w:t>
      </w:r>
      <w:r>
        <w:rPr>
          <w:rFonts w:ascii="Times New Roman" w:hAnsi="Times New Roman"/>
          <w:i/>
          <w:iCs/>
          <w:sz w:val="24"/>
        </w:rPr>
        <w:t>in situ</w:t>
      </w:r>
      <w:r>
        <w:rPr>
          <w:rFonts w:ascii="Times New Roman" w:hAnsi="Times New Roman"/>
          <w:sz w:val="24"/>
        </w:rPr>
        <w:t xml:space="preserve"> a </w:t>
      </w:r>
      <w:r>
        <w:rPr>
          <w:rFonts w:ascii="Times New Roman" w:hAnsi="Times New Roman"/>
          <w:i/>
          <w:iCs/>
          <w:sz w:val="24"/>
        </w:rPr>
        <w:t>ex situ</w:t>
      </w:r>
      <w:r>
        <w:rPr>
          <w:rFonts w:ascii="Times New Roman" w:hAnsi="Times New Roman"/>
          <w:sz w:val="24"/>
        </w:rPr>
        <w:t xml:space="preserve">, charakterizácie, zhromažďovania a využívania genetických zdrojov v poľnohospodárstve vrátane internetových inventárov genetických zdrojov v súčasnosti zachovávaných </w:t>
      </w:r>
      <w:r>
        <w:rPr>
          <w:rFonts w:ascii="Times New Roman" w:hAnsi="Times New Roman"/>
          <w:i/>
          <w:iCs/>
          <w:sz w:val="24"/>
        </w:rPr>
        <w:t>in situ</w:t>
      </w:r>
      <w:r>
        <w:rPr>
          <w:rFonts w:ascii="Times New Roman" w:hAnsi="Times New Roman"/>
          <w:sz w:val="24"/>
        </w:rPr>
        <w:t xml:space="preserve"> (vrátane ochrany </w:t>
      </w:r>
      <w:r>
        <w:rPr>
          <w:rFonts w:ascii="Times New Roman" w:hAnsi="Times New Roman"/>
          <w:i/>
          <w:iCs/>
          <w:sz w:val="24"/>
        </w:rPr>
        <w:t>in situ</w:t>
      </w:r>
      <w:r>
        <w:rPr>
          <w:rFonts w:ascii="Times New Roman" w:hAnsi="Times New Roman"/>
          <w:sz w:val="24"/>
        </w:rPr>
        <w:t xml:space="preserve">/v poľnohospodárskom podniku), ako aj internetových inventárov zbierok a databáz </w:t>
      </w:r>
      <w:r>
        <w:rPr>
          <w:rFonts w:ascii="Times New Roman" w:hAnsi="Times New Roman"/>
          <w:i/>
          <w:iCs/>
          <w:sz w:val="24"/>
        </w:rPr>
        <w:t>ex situ</w:t>
      </w:r>
      <w:r>
        <w:rPr>
          <w:rFonts w:ascii="Times New Roman" w:hAnsi="Times New Roman"/>
          <w:sz w:val="24"/>
        </w:rPr>
        <w:t>;</w:t>
      </w:r>
    </w:p>
    <w:p w14:paraId="1C05C9A3" w14:textId="77777777" w:rsidR="004C7E22" w:rsidRPr="00CE446A" w:rsidRDefault="004C7E22" w:rsidP="00C458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52FF5" w14:textId="77777777" w:rsidR="004C7E22" w:rsidRPr="00CE446A" w:rsidRDefault="004C7E22" w:rsidP="00C458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sz w:val="24"/>
        </w:rPr>
      </w:r>
      <w:r w:rsidR="0033024D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zosúladené opatrenia: opatrenia podporujúce výmenu informácií na účely ochrany, charakterizácie, zhromažďovania a využívania genetických zdrojov v poľnohospodárstve Únie medzi príslušnými organizáciami v členských štátoch;</w:t>
      </w:r>
    </w:p>
    <w:p w14:paraId="38DD9741" w14:textId="77777777" w:rsidR="004C7E22" w:rsidRPr="00CE446A" w:rsidRDefault="004C7E22" w:rsidP="00C458B5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007CDE" w14:textId="77777777" w:rsidR="004C7E22" w:rsidRDefault="004C7E22" w:rsidP="00C458B5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sz w:val="24"/>
        </w:rPr>
      </w:r>
      <w:r w:rsidR="0033024D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sprievodné akcie: informačné, propagačné a poradenské akcie so zapojením mimovládnych organizácií a iných príslušných zainteresovaných strán, vzdelávacie kurzy a vypracúvanie technických správ.</w:t>
      </w:r>
    </w:p>
    <w:p w14:paraId="35C32BD6" w14:textId="77777777" w:rsidR="00CE446A" w:rsidRDefault="00CE446A" w:rsidP="004C7E2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B758CC2" w14:textId="77777777" w:rsidR="00CE446A" w:rsidRDefault="00CE446A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hAnsi="Times New Roman"/>
          <w:sz w:val="24"/>
        </w:rPr>
        <w:t>Poskytuje sa pomoc na hektár?</w:t>
      </w:r>
    </w:p>
    <w:p w14:paraId="07A5A40E" w14:textId="77777777" w:rsidR="00CE446A" w:rsidRDefault="00CE446A" w:rsidP="00FD54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78935BB0" w14:textId="77777777" w:rsidR="00CE446A" w:rsidRDefault="00CE446A" w:rsidP="00D85B81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8316E64" w14:textId="77777777" w:rsidR="00CE446A" w:rsidRDefault="00CE446A" w:rsidP="00FD54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2B64CB1F" w14:textId="77777777" w:rsidR="00CE446A" w:rsidRDefault="00CE446A" w:rsidP="00C458B5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hAnsi="Times New Roman"/>
          <w:sz w:val="24"/>
        </w:rPr>
        <w:t>Poskytuje sa pomoc vo forme paušálnej platby?</w:t>
      </w:r>
    </w:p>
    <w:p w14:paraId="54D1211A" w14:textId="77777777" w:rsidR="00CE446A" w:rsidRDefault="00CE446A" w:rsidP="00FD54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75EFCF2A" w14:textId="77777777" w:rsidR="00CE446A" w:rsidRDefault="00CE446A" w:rsidP="00D85B81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BEB6D9B" w14:textId="77777777" w:rsidR="00D85B81" w:rsidRPr="001D64CF" w:rsidRDefault="00D85B81" w:rsidP="00D85B8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D883C9" w14:textId="77777777" w:rsidR="00D85B81" w:rsidRPr="003F3E46" w:rsidRDefault="00D85B81" w:rsidP="00D85B8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odôvodnite:</w:t>
      </w:r>
    </w:p>
    <w:p w14:paraId="4A44A3DD" w14:textId="77777777" w:rsidR="00147DD9" w:rsidRPr="00147DD9" w:rsidRDefault="00D85B81" w:rsidP="00D85B81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64F3A10" w14:textId="77777777" w:rsidR="00147DD9" w:rsidRDefault="00147DD9" w:rsidP="00147DD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735D6A" w14:textId="77777777" w:rsidR="004B1A71" w:rsidRDefault="004B1A71" w:rsidP="003A54AC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podľa bodu 221 usmernení sa pomoc môže poskytnúť vo forme paušálnej platby iba v riadne odôvodnených prípadoch.</w:t>
      </w:r>
    </w:p>
    <w:p w14:paraId="2CD3910A" w14:textId="77777777" w:rsidR="003A54AC" w:rsidRDefault="003A54AC" w:rsidP="00147DD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6FE4D4" w14:textId="77777777" w:rsidR="00F13FDB" w:rsidRDefault="00F13FDB" w:rsidP="00F13FDB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hAnsi="Times New Roman"/>
          <w:sz w:val="24"/>
        </w:rPr>
        <w:t>Poskytuje sa pomoc ako jednorazová platba na jednotku?</w:t>
      </w:r>
    </w:p>
    <w:p w14:paraId="1EAA7BB3" w14:textId="77777777" w:rsidR="00F13FDB" w:rsidRDefault="00F13FDB" w:rsidP="00F13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0D583DF9" w14:textId="77777777" w:rsidR="00F13FDB" w:rsidRDefault="00F13FDB" w:rsidP="00F13FD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D4E38ED" w14:textId="77777777" w:rsidR="00F13FDB" w:rsidRPr="007127E8" w:rsidRDefault="00F13FDB" w:rsidP="00F13FDB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EA89CF" w14:textId="77777777" w:rsidR="00F13FDB" w:rsidRPr="003F3E46" w:rsidRDefault="00F13FDB" w:rsidP="00F13FD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odôvodnite:</w:t>
      </w:r>
    </w:p>
    <w:p w14:paraId="1CB57609" w14:textId="77777777" w:rsidR="00F13FDB" w:rsidRDefault="00F13FDB" w:rsidP="00F13FD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87DF4B5" w14:textId="77777777" w:rsidR="004B1A71" w:rsidRDefault="004B1A71" w:rsidP="00F13FD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21C1DC" w14:textId="77777777" w:rsidR="00E972A5" w:rsidRDefault="004B1A71" w:rsidP="00F13FDB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Upozorňujeme vás, že podľa bodov 214 a 221 usmernení sa pomoc môže poskytnúť ako jednorazová platba na jednotku len v riadne odôvodnených prípadoch, ako sú operácie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týkajúce sa ochrany životného prostredia alebo záväzky nevyužívať oblasti na komerčné účely.</w:t>
      </w:r>
    </w:p>
    <w:p w14:paraId="1116E360" w14:textId="77777777" w:rsidR="00E972A5" w:rsidRDefault="00E972A5" w:rsidP="00F13FDB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61D942C" w14:textId="77777777" w:rsidR="004B1A71" w:rsidRPr="007127E8" w:rsidRDefault="00E972A5" w:rsidP="007127E8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hAnsi="Times New Roman"/>
          <w:sz w:val="24"/>
        </w:rPr>
        <w:t>Ak ste na otázku 30 tohto formulára doplňujúcich informácií odpovedali áno, vypočíta sa takáto pomoc na základe vzniknutých dodatočných nákladov a straty príjmu?</w:t>
      </w:r>
    </w:p>
    <w:p w14:paraId="27CA1B9A" w14:textId="77777777" w:rsidR="00F13FDB" w:rsidRDefault="00F13FDB" w:rsidP="001D64CF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919E97" w14:textId="77777777" w:rsidR="00E972A5" w:rsidRDefault="00E972A5" w:rsidP="00E972A5">
      <w:pPr>
        <w:spacing w:after="0" w:line="240" w:lineRule="auto"/>
        <w:ind w:left="567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07DD0CF" w14:textId="77777777" w:rsidR="00E972A5" w:rsidRPr="003A54AC" w:rsidRDefault="00E972A5" w:rsidP="00E972A5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2"/>
      </w:tblGrid>
      <w:tr w:rsidR="00147DD9" w:rsidRPr="00147DD9" w14:paraId="540BB1CF" w14:textId="77777777" w:rsidTr="007127E8">
        <w:trPr>
          <w:trHeight w:val="416"/>
        </w:trPr>
        <w:tc>
          <w:tcPr>
            <w:tcW w:w="9272" w:type="dxa"/>
            <w:shd w:val="pct15" w:color="auto" w:fill="FFFFFF"/>
          </w:tcPr>
          <w:p w14:paraId="55C079C1" w14:textId="77777777" w:rsidR="00147DD9" w:rsidRPr="00147DD9" w:rsidRDefault="00147DD9" w:rsidP="007127E8">
            <w:pPr>
              <w:shd w:val="pct20" w:color="auto" w:fill="FFFFFF"/>
              <w:spacing w:after="0" w:line="240" w:lineRule="auto"/>
              <w:ind w:left="432" w:hanging="432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0"/>
              </w:rPr>
            </w:pPr>
            <w:r>
              <w:br w:type="page"/>
            </w:r>
            <w:r>
              <w:rPr>
                <w:rFonts w:ascii="Times New Roman" w:hAnsi="Times New Roman"/>
                <w:b/>
                <w:sz w:val="24"/>
              </w:rPr>
              <w:t>DOLOŽKA O REVÍZII</w:t>
            </w:r>
          </w:p>
        </w:tc>
      </w:tr>
    </w:tbl>
    <w:p w14:paraId="5FB14417" w14:textId="77777777" w:rsidR="00147DD9" w:rsidRPr="00147DD9" w:rsidRDefault="00147DD9" w:rsidP="00147DD9">
      <w:pPr>
        <w:spacing w:before="120" w:after="120" w:line="240" w:lineRule="auto"/>
        <w:ind w:left="480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</w:p>
    <w:p w14:paraId="2E8E03CB" w14:textId="77777777" w:rsidR="00147DD9" w:rsidRPr="00147DD9" w:rsidRDefault="00147DD9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 v prípade operácií podporovaných podľa tohto oddielu usmernení zavedená doložka o revízii? </w:t>
      </w:r>
    </w:p>
    <w:p w14:paraId="193449A2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F978E3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E9F564F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BEF73B" w14:textId="77777777" w:rsidR="00147DD9" w:rsidRPr="00147DD9" w:rsidRDefault="001D0E2E" w:rsidP="00147D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</w:rPr>
        <w:t>Upozorňujeme vás, že podľa bodu 647 usmernení je členský štát povinný túto doložku zaviesť s cieľom zabezpečiť prispôsobenie operácií v prípade zmien príslušných záväzných noriem, požiadaviek alebo povinností uvedených v časti II oddiele 1.1.4 usmernení, ktorých rámec musia presahovať záväzky uvedené v danom oddiele.</w:t>
      </w:r>
    </w:p>
    <w:p w14:paraId="261F66CE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B7B48B" w14:textId="77777777" w:rsidR="00147DD9" w:rsidRPr="00147DD9" w:rsidRDefault="00147DD9" w:rsidP="00C458B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Presahuje pomoc programové obdobie rozvoja vidieka 2023 – 2027?</w:t>
      </w:r>
    </w:p>
    <w:p w14:paraId="2B960BD1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502A2B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3024D">
        <w:rPr>
          <w:rFonts w:ascii="Times New Roman" w:eastAsia="Times New Roman" w:hAnsi="Times New Roman"/>
          <w:b/>
          <w:sz w:val="24"/>
        </w:rPr>
      </w:r>
      <w:r w:rsidR="0033024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C6E73E9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6185A3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áno, upozorňujeme vás, že podľa bodu 648 usmernení je nutné zaviesť doložku o revízii v prípade pomoci podľa časti II oddielu 1.1.4 usmernení s cieľom umožniť prispôsobenie operácií právnemu rámcu nasledujúceho programového obdobia rozvoja vidieka.</w:t>
      </w:r>
    </w:p>
    <w:p w14:paraId="5C50AFCE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7559C4" w14:textId="77777777" w:rsidR="00147DD9" w:rsidRPr="00147DD9" w:rsidRDefault="00147DD9" w:rsidP="00712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ĎALŠIE INFORMÁCIE</w:t>
      </w:r>
    </w:p>
    <w:p w14:paraId="17016536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947427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všetky ďalšie informácie, ktoré možno považovať za významné z hľadiska posúdenia predmetného opatrenia v rámci tohto oddielu usmernení.</w:t>
      </w:r>
    </w:p>
    <w:p w14:paraId="7938C419" w14:textId="77777777" w:rsidR="00147DD9" w:rsidRPr="00147DD9" w:rsidRDefault="00147DD9" w:rsidP="00147D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C7DB4F" w14:textId="77777777" w:rsidR="001A718E" w:rsidRDefault="00147DD9" w:rsidP="001D64CF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AA426" w14:textId="77777777" w:rsidR="00AA67BD" w:rsidRDefault="00AA67BD">
      <w:pPr>
        <w:spacing w:after="0" w:line="240" w:lineRule="auto"/>
      </w:pPr>
      <w:r>
        <w:separator/>
      </w:r>
    </w:p>
  </w:endnote>
  <w:endnote w:type="continuationSeparator" w:id="0">
    <w:p w14:paraId="08E5F935" w14:textId="77777777" w:rsidR="00AA67BD" w:rsidRDefault="00AA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3CFC" w14:textId="77777777" w:rsidR="007971DF" w:rsidRDefault="007971D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4CEF">
      <w:rPr>
        <w:noProof/>
      </w:rPr>
      <w:t>2</w:t>
    </w:r>
    <w:r>
      <w:fldChar w:fldCharType="end"/>
    </w:r>
  </w:p>
  <w:p w14:paraId="541D990A" w14:textId="77777777" w:rsidR="007971DF" w:rsidRDefault="00797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4F90E" w14:textId="77777777" w:rsidR="00AA67BD" w:rsidRDefault="00AA67BD">
      <w:pPr>
        <w:spacing w:after="0" w:line="240" w:lineRule="auto"/>
      </w:pPr>
      <w:r>
        <w:separator/>
      </w:r>
    </w:p>
  </w:footnote>
  <w:footnote w:type="continuationSeparator" w:id="0">
    <w:p w14:paraId="3753666C" w14:textId="77777777" w:rsidR="00AA67BD" w:rsidRDefault="00AA67BD">
      <w:pPr>
        <w:spacing w:after="0" w:line="240" w:lineRule="auto"/>
      </w:pPr>
      <w:r>
        <w:continuationSeparator/>
      </w:r>
    </w:p>
  </w:footnote>
  <w:footnote w:id="1">
    <w:p w14:paraId="158C4D63" w14:textId="77777777" w:rsidR="00607CF7" w:rsidRPr="007127E8" w:rsidRDefault="00607C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B4CEF">
        <w:tab/>
      </w:r>
      <w:hyperlink r:id="rId1" w:history="1">
        <w:r>
          <w:rPr>
            <w:rStyle w:val="Hyperlink"/>
          </w:rPr>
          <w:t>EUR-Lex – 32021R2115 – SK – 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2592" w14:textId="77777777" w:rsidR="007971DF" w:rsidRDefault="007971DF" w:rsidP="007971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55AE2"/>
    <w:multiLevelType w:val="hybridMultilevel"/>
    <w:tmpl w:val="54D4CC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43000"/>
    <w:multiLevelType w:val="multilevel"/>
    <w:tmpl w:val="93EC5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E9C7F6E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079578">
    <w:abstractNumId w:val="1"/>
  </w:num>
  <w:num w:numId="2" w16cid:durableId="2104296822">
    <w:abstractNumId w:val="2"/>
  </w:num>
  <w:num w:numId="3" w16cid:durableId="68037770">
    <w:abstractNumId w:val="0"/>
  </w:num>
  <w:num w:numId="4" w16cid:durableId="571813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147DD9"/>
    <w:rsid w:val="00000BE7"/>
    <w:rsid w:val="00022923"/>
    <w:rsid w:val="000464C9"/>
    <w:rsid w:val="00047BB1"/>
    <w:rsid w:val="00047DB1"/>
    <w:rsid w:val="00053CF1"/>
    <w:rsid w:val="000F2468"/>
    <w:rsid w:val="000F346C"/>
    <w:rsid w:val="00147DD9"/>
    <w:rsid w:val="00171187"/>
    <w:rsid w:val="00172C68"/>
    <w:rsid w:val="001A718E"/>
    <w:rsid w:val="001B0E7D"/>
    <w:rsid w:val="001D0E2E"/>
    <w:rsid w:val="001D64CF"/>
    <w:rsid w:val="001E52FD"/>
    <w:rsid w:val="002A39E8"/>
    <w:rsid w:val="002A4B86"/>
    <w:rsid w:val="002B4CEF"/>
    <w:rsid w:val="0033024D"/>
    <w:rsid w:val="00340C1F"/>
    <w:rsid w:val="003A43E1"/>
    <w:rsid w:val="003A54AC"/>
    <w:rsid w:val="003B46DF"/>
    <w:rsid w:val="003D610D"/>
    <w:rsid w:val="003F3E46"/>
    <w:rsid w:val="0043040C"/>
    <w:rsid w:val="00443110"/>
    <w:rsid w:val="00470801"/>
    <w:rsid w:val="004963BA"/>
    <w:rsid w:val="004B1A71"/>
    <w:rsid w:val="004C0F9B"/>
    <w:rsid w:val="004C7E22"/>
    <w:rsid w:val="004D1DA1"/>
    <w:rsid w:val="00510356"/>
    <w:rsid w:val="00557BF6"/>
    <w:rsid w:val="005842A0"/>
    <w:rsid w:val="005A64DE"/>
    <w:rsid w:val="005C531F"/>
    <w:rsid w:val="00606C49"/>
    <w:rsid w:val="00607CF7"/>
    <w:rsid w:val="006162FC"/>
    <w:rsid w:val="00657C98"/>
    <w:rsid w:val="00670A97"/>
    <w:rsid w:val="00676912"/>
    <w:rsid w:val="007127E8"/>
    <w:rsid w:val="007148FF"/>
    <w:rsid w:val="007216E9"/>
    <w:rsid w:val="00734C33"/>
    <w:rsid w:val="007439DF"/>
    <w:rsid w:val="0077431B"/>
    <w:rsid w:val="00790B56"/>
    <w:rsid w:val="007971DF"/>
    <w:rsid w:val="007B6724"/>
    <w:rsid w:val="007C0E38"/>
    <w:rsid w:val="007C418A"/>
    <w:rsid w:val="007D4F10"/>
    <w:rsid w:val="00827751"/>
    <w:rsid w:val="008972F6"/>
    <w:rsid w:val="008B4A34"/>
    <w:rsid w:val="008E5B80"/>
    <w:rsid w:val="008E75B1"/>
    <w:rsid w:val="00910916"/>
    <w:rsid w:val="00912159"/>
    <w:rsid w:val="0093172B"/>
    <w:rsid w:val="00934D61"/>
    <w:rsid w:val="00955E72"/>
    <w:rsid w:val="009858D6"/>
    <w:rsid w:val="009C2031"/>
    <w:rsid w:val="00A05F2F"/>
    <w:rsid w:val="00A10194"/>
    <w:rsid w:val="00AA67BD"/>
    <w:rsid w:val="00AD6226"/>
    <w:rsid w:val="00AE1FBF"/>
    <w:rsid w:val="00B64E71"/>
    <w:rsid w:val="00B71CC9"/>
    <w:rsid w:val="00B95A01"/>
    <w:rsid w:val="00BC278C"/>
    <w:rsid w:val="00BD59CE"/>
    <w:rsid w:val="00C358A1"/>
    <w:rsid w:val="00C458B5"/>
    <w:rsid w:val="00C52042"/>
    <w:rsid w:val="00C57AFB"/>
    <w:rsid w:val="00C62D89"/>
    <w:rsid w:val="00C74382"/>
    <w:rsid w:val="00C847D1"/>
    <w:rsid w:val="00CB32BA"/>
    <w:rsid w:val="00CB4396"/>
    <w:rsid w:val="00CE446A"/>
    <w:rsid w:val="00D8224E"/>
    <w:rsid w:val="00D85B81"/>
    <w:rsid w:val="00D87C8B"/>
    <w:rsid w:val="00D9482F"/>
    <w:rsid w:val="00DA407A"/>
    <w:rsid w:val="00DF2DFA"/>
    <w:rsid w:val="00E10FDD"/>
    <w:rsid w:val="00E57E7F"/>
    <w:rsid w:val="00E86933"/>
    <w:rsid w:val="00E9168A"/>
    <w:rsid w:val="00E96765"/>
    <w:rsid w:val="00E972A5"/>
    <w:rsid w:val="00EC6FA9"/>
    <w:rsid w:val="00ED435F"/>
    <w:rsid w:val="00F13FDB"/>
    <w:rsid w:val="00F14730"/>
    <w:rsid w:val="00F37CEF"/>
    <w:rsid w:val="00F552BA"/>
    <w:rsid w:val="00F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5680D"/>
  <w15:chartTrackingRefBased/>
  <w15:docId w15:val="{403651DE-9F6B-4BBD-A80F-A0676FBC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2A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D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47DD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7D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7DD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842A0"/>
    <w:rPr>
      <w:rFonts w:ascii="Segoe UI" w:hAnsi="Segoe UI" w:cs="Segoe UI"/>
      <w:sz w:val="18"/>
      <w:szCs w:val="18"/>
      <w:lang w:eastAsia="en-US"/>
    </w:rPr>
  </w:style>
  <w:style w:type="paragraph" w:customStyle="1" w:styleId="Text1">
    <w:name w:val="Text 1"/>
    <w:basedOn w:val="Normal"/>
    <w:rsid w:val="002A4B86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7CF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07CF7"/>
    <w:rPr>
      <w:lang w:eastAsia="en-US"/>
    </w:rPr>
  </w:style>
  <w:style w:type="character" w:styleId="FootnoteReference">
    <w:name w:val="footnote reference"/>
    <w:uiPriority w:val="99"/>
    <w:semiHidden/>
    <w:unhideWhenUsed/>
    <w:rsid w:val="00607CF7"/>
    <w:rPr>
      <w:vertAlign w:val="superscript"/>
    </w:rPr>
  </w:style>
  <w:style w:type="character" w:styleId="Hyperlink">
    <w:name w:val="Hyperlink"/>
    <w:uiPriority w:val="99"/>
    <w:semiHidden/>
    <w:unhideWhenUsed/>
    <w:rsid w:val="00607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SK/TXT/?toc=OJ%3AL%3A2021%3A435%3ATOC&amp;uri=uriserv%3AOJ.L_.2021.435.01.0001.01.S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C7233-EF08-4235-8720-432FB1CA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2093</Words>
  <Characters>13691</Characters>
  <Application>Microsoft Office Word</Application>
  <DocSecurity>0</DocSecurity>
  <Lines>402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15625</CharactersWithSpaces>
  <SharedDoc>false</SharedDoc>
  <HLinks>
    <vt:vector size="6" baseType="variant">
      <vt:variant>
        <vt:i4>48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https://eur-lex.europa.eu/legal-content/EN/TXT/?toc=OJ%3AL%3A2021%3A435%3ATOC&amp;uri=uriserv%3AOJ.L_.2021.435.01.0001.01.ENG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4</cp:revision>
  <dcterms:created xsi:type="dcterms:W3CDTF">2023-02-09T08:16:00Z</dcterms:created>
  <dcterms:modified xsi:type="dcterms:W3CDTF">2023-06-01T09:48:00Z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2023-06-01T09:48:52Z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7eee0fa3-fe87-4507-ad5e-5a6d4aa2b66a</vt:lpwstr>
  </property>
  <property fmtid="{D5CDD505-2E9C-101B-9397-08002B2CF9AE}" pid="8" name="MSIP_Label_6bd9ddd1-4d20-43f6-abfa-fc3c07406f94_ContentBits">
    <vt:lpwstr>0</vt:lpwstr>
  </property>
</Properties>
</file>