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07883" w:rsidRPr="00C20CE7" w14:paraId="127C4B47" w14:textId="77777777" w:rsidTr="001332C2">
        <w:tc>
          <w:tcPr>
            <w:tcW w:w="9072" w:type="dxa"/>
            <w:shd w:val="pct15" w:color="auto" w:fill="FFFFFF"/>
          </w:tcPr>
          <w:p w14:paraId="01AAF1AF" w14:textId="77777777" w:rsidR="00D07883" w:rsidRPr="00C20CE7" w:rsidRDefault="00D07883" w:rsidP="00D07883">
            <w:pPr>
              <w:keepNext/>
              <w:spacing w:before="120" w:after="120" w:line="240" w:lineRule="auto"/>
              <w:jc w:val="center"/>
              <w:outlineLvl w:val="0"/>
              <w:rPr>
                <w:rFonts w:ascii="Times New Roman" w:eastAsia="Times New Roman" w:hAnsi="Times New Roman"/>
                <w:b/>
                <w:smallCaps/>
                <w:sz w:val="28"/>
                <w:szCs w:val="28"/>
              </w:rPr>
            </w:pPr>
            <w:bookmarkStart w:id="0" w:name="_GoBack"/>
            <w:bookmarkEnd w:id="0"/>
            <w:r w:rsidRPr="00C20CE7">
              <w:br w:type="page"/>
            </w:r>
            <w:r w:rsidRPr="00C20CE7">
              <w:rPr>
                <w:rFonts w:ascii="Times New Roman" w:hAnsi="Times New Roman"/>
                <w:b/>
                <w:smallCaps/>
                <w:sz w:val="28"/>
              </w:rPr>
              <w:t>1.1.5.</w:t>
            </w:r>
          </w:p>
          <w:p w14:paraId="1606807F" w14:textId="77777777" w:rsidR="00D07883" w:rsidRPr="00C20CE7" w:rsidRDefault="00D07883" w:rsidP="00D07883">
            <w:pPr>
              <w:keepNext/>
              <w:spacing w:after="120" w:line="240" w:lineRule="auto"/>
              <w:jc w:val="center"/>
              <w:outlineLvl w:val="0"/>
              <w:rPr>
                <w:rFonts w:ascii="Times New Roman" w:eastAsia="Times New Roman" w:hAnsi="Times New Roman"/>
                <w:b/>
                <w:smallCaps/>
                <w:sz w:val="40"/>
                <w:szCs w:val="20"/>
              </w:rPr>
            </w:pPr>
            <w:r w:rsidRPr="00C20CE7">
              <w:rPr>
                <w:rFonts w:ascii="Times New Roman" w:hAnsi="Times New Roman"/>
                <w:b/>
                <w:smallCaps/>
                <w:sz w:val="28"/>
              </w:rPr>
              <w:t>Formulár doplňujúcich informácií o pomoci týkajúcej sa</w:t>
            </w:r>
            <w:r w:rsidRPr="00C20CE7">
              <w:t xml:space="preserve"> </w:t>
            </w:r>
            <w:r w:rsidRPr="00C20CE7">
              <w:br/>
            </w:r>
            <w:r w:rsidRPr="00C20CE7">
              <w:rPr>
                <w:rFonts w:ascii="Times New Roman" w:hAnsi="Times New Roman"/>
                <w:b/>
                <w:smallCaps/>
                <w:sz w:val="28"/>
              </w:rPr>
              <w:t>záväzkov s súvislosti s dobrými životnými podmienkami zvierat</w:t>
            </w:r>
          </w:p>
        </w:tc>
      </w:tr>
    </w:tbl>
    <w:p w14:paraId="27742F97" w14:textId="77777777" w:rsidR="00D07883" w:rsidRPr="00C20CE7" w:rsidRDefault="00D07883" w:rsidP="00E721CA">
      <w:pPr>
        <w:spacing w:before="100" w:beforeAutospacing="1" w:after="100" w:afterAutospacing="1" w:line="240" w:lineRule="auto"/>
        <w:jc w:val="both"/>
        <w:rPr>
          <w:rFonts w:ascii="Times New Roman" w:eastAsia="Times New Roman" w:hAnsi="Times New Roman"/>
          <w:i/>
          <w:sz w:val="24"/>
          <w:szCs w:val="20"/>
        </w:rPr>
      </w:pPr>
      <w:r w:rsidRPr="00C20CE7">
        <w:rPr>
          <w:rFonts w:ascii="Times New Roman" w:hAnsi="Times New Roman"/>
          <w:i/>
          <w:sz w:val="24"/>
        </w:rPr>
        <w:t>Tento formulár sa musí použiť na notifikáciu každého opatrenia štátnej pomoci na podporu metód poľnohospodárskej výroby zameraných na zvýšenie úrovne dobrých životných podmienok zvierat podľa časti II oddielu 1.1.5 Usmernení Európskej únie o štátnej pomoci v odvetviach poľnohospodárstva a lesného hospodárstva a vo vidieckych oblastiach (ďalej len „usmernenia“).</w:t>
      </w:r>
    </w:p>
    <w:p w14:paraId="2F52847B" w14:textId="77777777" w:rsidR="00642138" w:rsidRPr="00C20CE7" w:rsidRDefault="00642138" w:rsidP="00E721CA">
      <w:pPr>
        <w:spacing w:before="100" w:beforeAutospacing="1" w:after="100" w:afterAutospacing="1" w:line="240" w:lineRule="auto"/>
        <w:jc w:val="both"/>
        <w:rPr>
          <w:rFonts w:ascii="Times New Roman" w:eastAsia="Times New Roman" w:hAnsi="Times New Roman"/>
          <w:i/>
          <w:sz w:val="24"/>
          <w:szCs w:val="20"/>
        </w:rPr>
      </w:pPr>
      <w:r w:rsidRPr="00C20CE7">
        <w:rPr>
          <w:rFonts w:ascii="Times New Roman" w:hAnsi="Times New Roman"/>
          <w:i/>
          <w:sz w:val="24"/>
        </w:rPr>
        <w:t>Okrem tohto formulára vyplňte v záujme preukázania všeobecných podmienok oprávnenosti na štátnu pomoc aj všeobecný informačný formulár určený na notifikáciu štátnej pomoci v odvetví poľnohospodárstva a lesného hospodárstva a vo vidieckych oblastiach.</w:t>
      </w:r>
    </w:p>
    <w:p w14:paraId="263B5715" w14:textId="77777777" w:rsidR="00177A10" w:rsidRPr="00C20CE7" w:rsidRDefault="00177A10" w:rsidP="00E721CA">
      <w:pPr>
        <w:numPr>
          <w:ilvl w:val="0"/>
          <w:numId w:val="1"/>
        </w:num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Poskytuje sa pomoc iba podnikom pôsobiacim v poľnohospodárskej prvovýrobe, ktoré sa dobrovoľne zaviažu vykonávať operácie pozostávajúce z jedného alebo viacerých záväzkov týkajúcich sa dobrých životných podmienok zvierat?</w:t>
      </w:r>
    </w:p>
    <w:p w14:paraId="09B520A3" w14:textId="77777777" w:rsidR="00177A10" w:rsidRPr="00C20CE7" w:rsidRDefault="00177A10"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30852BA2" w14:textId="77777777" w:rsidR="00B80AC7" w:rsidRPr="00C20CE7" w:rsidRDefault="00B80AC7"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Poskytuje sa pomoc iba na záväzky, ktoré presahujú príslušné povinné normy stanovené podľa hlavy III kapitoly I oddielu 2 nariadenia (EÚ) 2021/2115</w:t>
      </w:r>
      <w:r w:rsidRPr="00C20CE7">
        <w:rPr>
          <w:rStyle w:val="FootnoteReference"/>
          <w:rFonts w:ascii="Times New Roman" w:hAnsi="Times New Roman"/>
          <w:sz w:val="24"/>
          <w:szCs w:val="24"/>
        </w:rPr>
        <w:footnoteReference w:id="1"/>
      </w:r>
      <w:r w:rsidRPr="00C20CE7">
        <w:rPr>
          <w:rFonts w:ascii="Times New Roman" w:hAnsi="Times New Roman"/>
          <w:sz w:val="24"/>
        </w:rPr>
        <w:t xml:space="preserve"> a iné príslušné povinné požiadavky stanovené vnútroštátnymi právnymi predpismi a právom Únie?</w:t>
      </w:r>
    </w:p>
    <w:p w14:paraId="74C3A83C" w14:textId="77777777" w:rsidR="00B80AC7" w:rsidRPr="00C20CE7" w:rsidRDefault="00B80AC7"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2C039B2A" w14:textId="77777777" w:rsidR="00DD60B8" w:rsidRPr="00C20CE7" w:rsidRDefault="00DD60B8" w:rsidP="00E721CA">
      <w:pPr>
        <w:autoSpaceDE w:val="0"/>
        <w:autoSpaceDN w:val="0"/>
        <w:adjustRightInd w:val="0"/>
        <w:spacing w:before="100" w:beforeAutospacing="1" w:after="100" w:afterAutospacing="1" w:line="240" w:lineRule="auto"/>
        <w:ind w:left="567"/>
        <w:jc w:val="both"/>
        <w:rPr>
          <w:rFonts w:ascii="Times New Roman" w:hAnsi="Times New Roman"/>
          <w:color w:val="000000"/>
          <w:sz w:val="24"/>
          <w:szCs w:val="24"/>
          <w:shd w:val="clear" w:color="auto" w:fill="FFFFFF"/>
        </w:rPr>
      </w:pPr>
      <w:r w:rsidRPr="00C20CE7">
        <w:rPr>
          <w:rFonts w:ascii="Times New Roman" w:hAnsi="Times New Roman"/>
          <w:color w:val="000000"/>
          <w:sz w:val="24"/>
          <w:shd w:val="clear" w:color="auto" w:fill="FFFFFF"/>
        </w:rPr>
        <w:t>Upozorňujeme vás, že podľa bodu 226 usmernení musia byť v notifikácii Komisii uvedené a opísané všetky povinné normy, požiadavky a stanovené poľnohospodárske postupy.</w:t>
      </w:r>
    </w:p>
    <w:p w14:paraId="25735882" w14:textId="77777777" w:rsidR="009D2AF4" w:rsidRPr="00C20CE7" w:rsidRDefault="00D24DE9"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Ak neexistujú žiadne príslušné povinné normy alebo požiadavky, poskytuje sa pomoc na záväzky, ktoré presahujú rámec poľnohospodárskych postupov stanovených na vnútroštátnej úrovni?</w:t>
      </w:r>
    </w:p>
    <w:p w14:paraId="74CCF235" w14:textId="77777777" w:rsidR="009D2AF4" w:rsidRPr="00C20CE7" w:rsidRDefault="009D2AF4"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1B063804" w14:textId="77777777" w:rsidR="009D2AF4" w:rsidRPr="00C20CE7" w:rsidRDefault="009D2AF4" w:rsidP="00E721CA">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Ak ste na túto otázku odpovedali áno, opíšte príslušné poľnohospodárske postupy:</w:t>
      </w:r>
    </w:p>
    <w:p w14:paraId="589FAA06" w14:textId="77777777" w:rsidR="00D24DE9" w:rsidRPr="00C20CE7" w:rsidRDefault="009D2AF4" w:rsidP="00E721CA">
      <w:pPr>
        <w:spacing w:before="100" w:beforeAutospacing="1" w:after="100" w:afterAutospacing="1" w:line="240" w:lineRule="auto"/>
        <w:ind w:left="567"/>
        <w:rPr>
          <w:rFonts w:ascii="Times New Roman" w:eastAsia="Times New Roman" w:hAnsi="Times New Roman"/>
          <w:b/>
          <w:sz w:val="24"/>
          <w:szCs w:val="24"/>
        </w:rPr>
      </w:pPr>
      <w:r w:rsidRPr="00C20CE7">
        <w:rPr>
          <w:rFonts w:ascii="Times New Roman" w:hAnsi="Times New Roman"/>
          <w:sz w:val="24"/>
        </w:rPr>
        <w:t>………………………………………………………………………………………………………………………………………………………………………………………….</w:t>
      </w:r>
    </w:p>
    <w:p w14:paraId="4636E24E" w14:textId="77777777" w:rsidR="00DD60B8" w:rsidRPr="00C20CE7" w:rsidRDefault="00DD60B8" w:rsidP="00E721CA">
      <w:pPr>
        <w:autoSpaceDE w:val="0"/>
        <w:autoSpaceDN w:val="0"/>
        <w:adjustRightInd w:val="0"/>
        <w:spacing w:before="100" w:beforeAutospacing="1" w:after="100" w:afterAutospacing="1" w:line="240" w:lineRule="auto"/>
        <w:ind w:left="567"/>
        <w:jc w:val="both"/>
        <w:rPr>
          <w:rFonts w:ascii="Times New Roman" w:hAnsi="Times New Roman"/>
          <w:color w:val="000000"/>
          <w:sz w:val="24"/>
          <w:szCs w:val="24"/>
          <w:shd w:val="clear" w:color="auto" w:fill="FFFFFF"/>
        </w:rPr>
      </w:pPr>
      <w:r w:rsidRPr="00C20CE7">
        <w:rPr>
          <w:rFonts w:ascii="Times New Roman" w:hAnsi="Times New Roman"/>
          <w:color w:val="000000"/>
          <w:sz w:val="24"/>
          <w:shd w:val="clear" w:color="auto" w:fill="FFFFFF"/>
        </w:rPr>
        <w:t>Upozorňujeme vás, že podľa bodu 226 usmernení musia byť takéto stanovené poľnohospodárske postupy uvedené a opísané v notifikácii Komisii.</w:t>
      </w:r>
    </w:p>
    <w:p w14:paraId="5D7EFA7B" w14:textId="77777777" w:rsidR="00885316" w:rsidRPr="00C20CE7" w:rsidRDefault="00885316"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lastRenderedPageBreak/>
        <w:t>Poskytuje sa pomoc na záväzky prispievajúce k dosiahnutiu súladu s novými požiadavkami stanovenými vnútroštátnym právom, ktoré presahujú rámec zodpovedajúcich minimálnych požiadaviek stanovených v práve Únie?</w:t>
      </w:r>
    </w:p>
    <w:p w14:paraId="4763F8FF" w14:textId="77777777" w:rsidR="00885316" w:rsidRPr="00C20CE7" w:rsidRDefault="00885316"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77A9BF12" w14:textId="77777777" w:rsidR="006E40A7" w:rsidRPr="00C20CE7" w:rsidRDefault="00885316"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Ak ste na otázku 4 tohto formulára doplňujúcich informácií odpovedali áno, poskytne sa takáto pomoc na záväzky prispievajúce k dosiahnutiu súladu s požiadavkami na maximálne obdobie 24 mesiacov odo dňa, keď sa uvedené požiadavky stanú pre daný podnik povinnými?</w:t>
      </w:r>
    </w:p>
    <w:p w14:paraId="0B7BECCF" w14:textId="77777777" w:rsidR="006E40A7" w:rsidRPr="00C20CE7" w:rsidRDefault="006E40A7" w:rsidP="00E721CA">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0D0C0095" w14:textId="77777777" w:rsidR="00D07883" w:rsidRPr="00C20CE7" w:rsidRDefault="00D07883"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V ktorých z týchto oblastí zabezpečujú záväzky súvisiace s dobrými životnými podmienkami zvierat zlepšenie noriem výrobných metód?</w:t>
      </w:r>
    </w:p>
    <w:p w14:paraId="467E5E05" w14:textId="77777777" w:rsidR="00D07883" w:rsidRPr="00C20CE7" w:rsidRDefault="00D07883"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a) voda, krmivo a starostlivosť o zvieratá v súlade s prirodzenými potrebami zvierat;</w:t>
      </w:r>
    </w:p>
    <w:p w14:paraId="3BE2F0C3" w14:textId="77777777" w:rsidR="008B67B4" w:rsidRPr="00C20CE7" w:rsidRDefault="00D07883" w:rsidP="00E721CA">
      <w:pPr>
        <w:spacing w:before="100" w:beforeAutospacing="1" w:after="100" w:afterAutospacing="1" w:line="240" w:lineRule="auto"/>
        <w:ind w:left="1134" w:hanging="567"/>
        <w:jc w:val="both"/>
        <w:rPr>
          <w:rFonts w:ascii="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b) podmienky ustajnenia, ktoré zvyšujú pohodlie zvierat a ich voľnosť pohybu, napr. väčší pridelený priestor, podlahový povrch, prirodzené svetlo, kontrola mikroklímy, ako aj podmienky ustajnenia, ako je voľné oprasenie alebo skupinové ustajnenie v závislosti od prirodzených potrieb zvierat;</w:t>
      </w:r>
    </w:p>
    <w:p w14:paraId="58012450" w14:textId="77777777" w:rsidR="00D07883" w:rsidRPr="00C20CE7" w:rsidRDefault="008B67B4"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c)</w:t>
      </w:r>
      <w:r w:rsidRPr="00C20CE7">
        <w:rPr>
          <w:rFonts w:ascii="Times New Roman" w:hAnsi="Times New Roman"/>
          <w:b/>
          <w:sz w:val="24"/>
        </w:rPr>
        <w:t xml:space="preserve"> </w:t>
      </w:r>
      <w:r w:rsidRPr="00C20CE7">
        <w:rPr>
          <w:rFonts w:ascii="Times New Roman" w:hAnsi="Times New Roman"/>
          <w:sz w:val="24"/>
        </w:rPr>
        <w:t>podmienky umožňujúce prejavy prirodzeného správania, napr. obohatenie prostredia na život alebo neskoré odstavenie;</w:t>
      </w:r>
    </w:p>
    <w:p w14:paraId="7252507B" w14:textId="77777777" w:rsidR="00D07883" w:rsidRPr="00C20CE7" w:rsidRDefault="00D07883"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d) prístup do vonkajších priestorov a pasenie vo voľnom výbehu;</w:t>
      </w:r>
    </w:p>
    <w:p w14:paraId="54AD7E18" w14:textId="77777777" w:rsidR="0042041D" w:rsidRPr="00C20CE7" w:rsidRDefault="0042041D"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e) postupy zvyšujúce odolnosť a dlhovekosť zvierat vrátane pomalšie rastúcich plemien;</w:t>
      </w:r>
    </w:p>
    <w:p w14:paraId="771462CC" w14:textId="77777777" w:rsidR="00D07883" w:rsidRPr="00C20CE7" w:rsidRDefault="00D07883" w:rsidP="00E721CA">
      <w:pPr>
        <w:spacing w:before="100" w:beforeAutospacing="1" w:after="100" w:afterAutospacing="1" w:line="240" w:lineRule="auto"/>
        <w:ind w:left="1134" w:hanging="567"/>
        <w:jc w:val="both"/>
        <w:rPr>
          <w:rFonts w:ascii="Times New Roman" w:eastAsia="Times New Roman" w:hAnsi="Times New Roman"/>
          <w:b/>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f) postupy, ktoré sa vyhýbajú mrzačeniu alebo kastrácii zvierat;</w:t>
      </w:r>
    </w:p>
    <w:p w14:paraId="19307F31" w14:textId="77777777" w:rsidR="00FF3241" w:rsidRPr="00C20CE7" w:rsidRDefault="00FF3241"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g) sanitárne opatrenia na predchádzanie neprenosným ochoreniam, ktoré si nevyžadujú použitie veterinárnych látok, ako sú vakcíny, insekticídy alebo antiparazitiká.</w:t>
      </w:r>
    </w:p>
    <w:p w14:paraId="42173D1C" w14:textId="77777777" w:rsidR="00642138" w:rsidRPr="00C20CE7" w:rsidRDefault="00D07883" w:rsidP="00E721CA">
      <w:pPr>
        <w:spacing w:before="100" w:beforeAutospacing="1" w:after="100" w:afterAutospacing="1" w:line="240" w:lineRule="auto"/>
        <w:ind w:left="709"/>
        <w:rPr>
          <w:rFonts w:ascii="Times New Roman" w:eastAsia="Times New Roman" w:hAnsi="Times New Roman"/>
          <w:sz w:val="24"/>
          <w:szCs w:val="24"/>
        </w:rPr>
      </w:pPr>
      <w:r w:rsidRPr="00C20CE7">
        <w:rPr>
          <w:rFonts w:ascii="Times New Roman" w:hAnsi="Times New Roman"/>
          <w:sz w:val="24"/>
        </w:rPr>
        <w:t>Uveďte podrobný opis:</w:t>
      </w:r>
    </w:p>
    <w:p w14:paraId="10903790" w14:textId="77777777" w:rsidR="00D07883" w:rsidRPr="00C20CE7" w:rsidRDefault="00D07883" w:rsidP="00E721CA">
      <w:pPr>
        <w:spacing w:before="100" w:beforeAutospacing="1" w:after="100" w:afterAutospacing="1" w:line="240" w:lineRule="auto"/>
        <w:ind w:left="709"/>
        <w:rPr>
          <w:rFonts w:ascii="Times New Roman" w:eastAsia="Times New Roman" w:hAnsi="Times New Roman"/>
          <w:sz w:val="24"/>
          <w:szCs w:val="24"/>
        </w:rPr>
      </w:pPr>
      <w:r w:rsidRPr="00C20CE7">
        <w:rPr>
          <w:rFonts w:ascii="Times New Roman" w:hAnsi="Times New Roman"/>
          <w:sz w:val="24"/>
        </w:rPr>
        <w:t>……………………………………………………………………………………………………………………………………………………………………………………</w:t>
      </w:r>
    </w:p>
    <w:p w14:paraId="0FC87384" w14:textId="77777777" w:rsidR="005937DA" w:rsidRPr="00C20CE7" w:rsidRDefault="005937DA"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Keď sa mrzačenie alebo kastrácia zvierat považujú za nevyhnutné, použijú sa anestetiká, analgetiká a protizápalové lieky alebo imunokastrácia?</w:t>
      </w:r>
    </w:p>
    <w:p w14:paraId="76A065B1" w14:textId="77777777" w:rsidR="005937DA" w:rsidRPr="00C20CE7" w:rsidRDefault="005937DA" w:rsidP="00E721CA">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3C4B2ACA" w14:textId="77777777" w:rsidR="005937DA" w:rsidRPr="00C20CE7" w:rsidRDefault="005937DA"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lastRenderedPageBreak/>
        <w:t>Upozorňujeme vás, že podľa bodu 228 písm. f) usmernení sa v špecifických prípadoch, keď sa mrzačenie alebo kastrácia zvierat považujú za nevyhnutné, musia použiť anestetiká, analgetiká a protizápalové lieky alebo imunokastrácia.</w:t>
      </w:r>
    </w:p>
    <w:p w14:paraId="2AB56B0B" w14:textId="77777777" w:rsidR="00D07883" w:rsidRPr="00C20CE7" w:rsidRDefault="002E31AF"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Poskytuje sa pomoc na záväzky v súvislosti s dobrými životnými podmienkami zvierat na obdobie jedného roka až siedmich rokov?</w:t>
      </w:r>
    </w:p>
    <w:p w14:paraId="5F069F9A" w14:textId="77777777" w:rsidR="00D07883" w:rsidRPr="00C20CE7" w:rsidRDefault="00D07883" w:rsidP="00E721CA">
      <w:pPr>
        <w:spacing w:before="100" w:beforeAutospacing="1" w:after="100" w:afterAutospacing="1" w:line="240" w:lineRule="auto"/>
        <w:ind w:left="567"/>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6CF900D1" w14:textId="77777777" w:rsidR="00B30E96" w:rsidRPr="00C20CE7" w:rsidRDefault="00032DEF" w:rsidP="00E721CA">
      <w:pPr>
        <w:spacing w:before="100" w:beforeAutospacing="1" w:after="100" w:afterAutospacing="1" w:line="240" w:lineRule="auto"/>
        <w:ind w:left="567"/>
        <w:rPr>
          <w:rFonts w:ascii="Times New Roman" w:eastAsia="Times New Roman" w:hAnsi="Times New Roman"/>
          <w:sz w:val="24"/>
          <w:szCs w:val="24"/>
        </w:rPr>
      </w:pPr>
      <w:r w:rsidRPr="00C20CE7">
        <w:rPr>
          <w:rFonts w:ascii="Times New Roman" w:hAnsi="Times New Roman"/>
          <w:sz w:val="24"/>
        </w:rPr>
        <w:t>Uveďte dĺžku obdobia:………………………………………………………………</w:t>
      </w:r>
    </w:p>
    <w:p w14:paraId="73656752" w14:textId="77777777" w:rsidR="00B30E96" w:rsidRPr="00C20CE7" w:rsidRDefault="00B30E96" w:rsidP="00E721CA">
      <w:pPr>
        <w:numPr>
          <w:ilvl w:val="0"/>
          <w:numId w:val="1"/>
        </w:numPr>
        <w:spacing w:before="100" w:beforeAutospacing="1" w:after="100" w:afterAutospacing="1" w:line="240" w:lineRule="auto"/>
        <w:ind w:left="567"/>
        <w:rPr>
          <w:rFonts w:ascii="Times New Roman" w:eastAsia="Times New Roman" w:hAnsi="Times New Roman"/>
          <w:sz w:val="24"/>
          <w:szCs w:val="24"/>
        </w:rPr>
      </w:pPr>
      <w:r w:rsidRPr="00C20CE7">
        <w:rPr>
          <w:rFonts w:ascii="Times New Roman" w:hAnsi="Times New Roman"/>
          <w:sz w:val="24"/>
        </w:rPr>
        <w:t>Určuje členský štát v prípade konkrétnych druhov záväzkov dlhšie obdobie ako sedem rokov?</w:t>
      </w:r>
    </w:p>
    <w:p w14:paraId="034BF856" w14:textId="77777777" w:rsidR="00B30E96" w:rsidRPr="00C20CE7" w:rsidRDefault="00B30E96" w:rsidP="00E721CA">
      <w:pPr>
        <w:spacing w:before="100" w:beforeAutospacing="1" w:after="100" w:afterAutospacing="1" w:line="240" w:lineRule="auto"/>
        <w:ind w:left="567"/>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7192DBC1" w14:textId="77777777" w:rsidR="00B30E96" w:rsidRPr="00C20CE7" w:rsidRDefault="00B30E96"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Ak ste odpovedali áno, odôvodnite:</w:t>
      </w:r>
    </w:p>
    <w:p w14:paraId="2A055C72" w14:textId="77777777" w:rsidR="00B30E96" w:rsidRPr="00C20CE7" w:rsidRDefault="00B30E96" w:rsidP="00E721CA">
      <w:pPr>
        <w:spacing w:before="100" w:beforeAutospacing="1" w:after="100" w:afterAutospacing="1" w:line="240" w:lineRule="auto"/>
        <w:ind w:left="567"/>
        <w:rPr>
          <w:rFonts w:ascii="Times New Roman" w:hAnsi="Times New Roman"/>
          <w:sz w:val="24"/>
          <w:szCs w:val="24"/>
        </w:rPr>
      </w:pPr>
      <w:r w:rsidRPr="00C20CE7">
        <w:rPr>
          <w:rFonts w:ascii="Times New Roman" w:hAnsi="Times New Roman"/>
          <w:sz w:val="24"/>
        </w:rPr>
        <w:t>…………………………………………………………………………………………………………………………………………………………………………………………</w:t>
      </w:r>
    </w:p>
    <w:p w14:paraId="7D4CA163" w14:textId="77777777" w:rsidR="00B30E96" w:rsidRPr="00C20CE7" w:rsidRDefault="009F0464"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Upozorňujeme vás, že podľa bodu 229 usmernení môže členský štát určiť dlhšie obdobie, ak je to nevyhnutné na dosiahnutie alebo udržanie určitých prínosov v oblasti dobrých životných podmienok zvierat, a to aj tak, že po uplynutí počiatočného obdobia umožní každoročné predlžovanie príslušných záväzkov.</w:t>
      </w:r>
    </w:p>
    <w:p w14:paraId="267D4715" w14:textId="77777777" w:rsidR="00D07883" w:rsidRPr="00C20CE7" w:rsidRDefault="00956DB4" w:rsidP="00E721CA">
      <w:pPr>
        <w:numPr>
          <w:ilvl w:val="0"/>
          <w:numId w:val="1"/>
        </w:num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 xml:space="preserve">Predlžuje sa zmluva automaticky? </w:t>
      </w:r>
    </w:p>
    <w:p w14:paraId="78ED302F" w14:textId="77777777" w:rsidR="00D07883" w:rsidRPr="00C20CE7" w:rsidRDefault="00D07883" w:rsidP="00E721CA">
      <w:pPr>
        <w:spacing w:before="100" w:beforeAutospacing="1" w:after="100" w:afterAutospacing="1" w:line="240" w:lineRule="auto"/>
        <w:ind w:left="567"/>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492DAA3B" w14:textId="77777777" w:rsidR="00D07883" w:rsidRPr="00C20CE7" w:rsidRDefault="00D07883" w:rsidP="00E721CA">
      <w:pPr>
        <w:spacing w:before="100" w:beforeAutospacing="1" w:after="100" w:afterAutospacing="1" w:line="240" w:lineRule="auto"/>
        <w:ind w:left="567"/>
        <w:jc w:val="both"/>
        <w:rPr>
          <w:rFonts w:ascii="Times New Roman" w:hAnsi="Times New Roman"/>
          <w:b/>
          <w:sz w:val="24"/>
          <w:szCs w:val="24"/>
        </w:rPr>
      </w:pPr>
      <w:r w:rsidRPr="00C20CE7">
        <w:rPr>
          <w:rFonts w:ascii="Times New Roman" w:hAnsi="Times New Roman"/>
          <w:sz w:val="24"/>
        </w:rPr>
        <w:t>Ak ste odpovedali áno, upozorňujeme vás, že podľa bodu 230 usmernení sa v zmluve musia uviesť podrobnosti predĺženia, pričom Komisii sa v rámci notifikácie musí oznámiť mechanizmus predĺženia záväzkov.</w:t>
      </w:r>
    </w:p>
    <w:p w14:paraId="2B02BCF5" w14:textId="77777777" w:rsidR="00AA59E7" w:rsidRPr="00C20CE7" w:rsidRDefault="00AA59E7"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color w:val="000000"/>
          <w:sz w:val="24"/>
          <w:shd w:val="clear" w:color="auto" w:fill="FFFFFF"/>
        </w:rPr>
        <w:t>Je predĺženie zmluvy podmienené dodržiavaním podmienok, ktoré Komisia schválila v prípade pomoci podľa tohto oddielu usmernení?</w:t>
      </w:r>
    </w:p>
    <w:p w14:paraId="63AE7117" w14:textId="77777777" w:rsidR="00AA59E7" w:rsidRPr="00C20CE7" w:rsidRDefault="00AA59E7" w:rsidP="00E721CA">
      <w:pPr>
        <w:spacing w:before="100" w:beforeAutospacing="1" w:after="100" w:afterAutospacing="1" w:line="240" w:lineRule="auto"/>
        <w:ind w:left="567"/>
        <w:rPr>
          <w:rFonts w:ascii="Times New Roman" w:eastAsia="Times New Roman" w:hAnsi="Times New Roman"/>
          <w:sz w:val="24"/>
          <w:szCs w:val="24"/>
        </w:rPr>
      </w:pPr>
      <w:r w:rsidRPr="00C20CE7">
        <w:rPr>
          <w:rFonts w:ascii="Times New Roman" w:eastAsia="Times New Roman" w:hAnsi="Times New Roman"/>
          <w:sz w:val="24"/>
        </w:rPr>
        <w:fldChar w:fldCharType="begin">
          <w:ffData>
            <w:name w:val="Check1"/>
            <w:enabled/>
            <w:calcOnExit w:val="0"/>
            <w:checkBox>
              <w:sizeAuto/>
              <w:default w:val="0"/>
            </w:checkBox>
          </w:ffData>
        </w:fldChar>
      </w:r>
      <w:r w:rsidRPr="00C20CE7">
        <w:rPr>
          <w:rFonts w:ascii="Times New Roman" w:eastAsia="Times New Roman" w:hAnsi="Times New Roman"/>
          <w:sz w:val="24"/>
        </w:rPr>
        <w:instrText xml:space="preserve"> FORMCHECKBOX </w:instrText>
      </w:r>
      <w:r w:rsidR="00C20CE7" w:rsidRPr="00C20CE7">
        <w:rPr>
          <w:rFonts w:ascii="Times New Roman" w:eastAsia="Times New Roman" w:hAnsi="Times New Roman"/>
          <w:sz w:val="24"/>
        </w:rPr>
      </w:r>
      <w:r w:rsidR="00C20CE7" w:rsidRPr="00C20CE7">
        <w:rPr>
          <w:rFonts w:ascii="Times New Roman" w:eastAsia="Times New Roman" w:hAnsi="Times New Roman"/>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sz w:val="24"/>
        </w:rPr>
        <w:fldChar w:fldCharType="begin">
          <w:ffData>
            <w:name w:val="Check1"/>
            <w:enabled/>
            <w:calcOnExit w:val="0"/>
            <w:checkBox>
              <w:sizeAuto/>
              <w:default w:val="0"/>
            </w:checkBox>
          </w:ffData>
        </w:fldChar>
      </w:r>
      <w:r w:rsidRPr="00C20CE7">
        <w:rPr>
          <w:rFonts w:ascii="Times New Roman" w:eastAsia="Times New Roman" w:hAnsi="Times New Roman"/>
          <w:sz w:val="24"/>
        </w:rPr>
        <w:instrText xml:space="preserve"> FORMCHECKBOX </w:instrText>
      </w:r>
      <w:r w:rsidR="00C20CE7" w:rsidRPr="00C20CE7">
        <w:rPr>
          <w:rFonts w:ascii="Times New Roman" w:eastAsia="Times New Roman" w:hAnsi="Times New Roman"/>
          <w:sz w:val="24"/>
        </w:rPr>
      </w:r>
      <w:r w:rsidR="00C20CE7" w:rsidRPr="00C20CE7">
        <w:rPr>
          <w:rFonts w:ascii="Times New Roman" w:eastAsia="Times New Roman" w:hAnsi="Times New Roman"/>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39EA8AF9" w14:textId="77777777" w:rsidR="00AA59E7" w:rsidRPr="00C20CE7" w:rsidRDefault="00AA59E7" w:rsidP="00E721CA">
      <w:pPr>
        <w:autoSpaceDE w:val="0"/>
        <w:autoSpaceDN w:val="0"/>
        <w:adjustRightInd w:val="0"/>
        <w:spacing w:before="100" w:beforeAutospacing="1" w:after="100" w:afterAutospacing="1" w:line="240" w:lineRule="auto"/>
        <w:ind w:left="567"/>
        <w:jc w:val="both"/>
        <w:rPr>
          <w:rFonts w:ascii="Times New Roman" w:hAnsi="Times New Roman"/>
          <w:color w:val="000000"/>
          <w:sz w:val="24"/>
          <w:szCs w:val="24"/>
          <w:shd w:val="clear" w:color="auto" w:fill="FFFFFF"/>
        </w:rPr>
      </w:pPr>
      <w:r w:rsidRPr="00C20CE7">
        <w:rPr>
          <w:rFonts w:ascii="Times New Roman" w:hAnsi="Times New Roman"/>
          <w:sz w:val="24"/>
        </w:rPr>
        <w:t>Upozorňujeme vás, že podľa bodu 230 usmernení musí byť obnovenie vždy podmienené dodržiavaním podmienok, ktoré Komisia schválila v prípade pomoci podľa oddielu 1.1.5 usmernení.</w:t>
      </w:r>
    </w:p>
    <w:p w14:paraId="02BBB222" w14:textId="77777777" w:rsidR="00BB1AD0" w:rsidRPr="00C20CE7" w:rsidRDefault="00D56358"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Majú podniky, ktoré vykonávajú operácie v rámci tohto oddielu usmernení, prístup k príslušným poznatkom a informáciám potrebným na vykonávanie takýchto operácií, aby bola pre všetkých, ktorí to potrebujú, dostupná vhodná odborná príprava a aby bol k dispozícii prístup k odborným poznatkom na pomoc poľnohospodárom, ktorí sa zaviazali zmeniť svoje systémy výroby?</w:t>
      </w:r>
    </w:p>
    <w:p w14:paraId="1C208596" w14:textId="77777777" w:rsidR="00BB1AD0" w:rsidRPr="00C20CE7" w:rsidRDefault="00BB1AD0" w:rsidP="00E721CA">
      <w:p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C20CE7">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058B5D4D" w14:textId="77777777" w:rsidR="00D07883" w:rsidRPr="00C20CE7" w:rsidRDefault="00D07883"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Poskytuje sa pomoc ročne?</w:t>
      </w:r>
    </w:p>
    <w:p w14:paraId="2B4ECFA0" w14:textId="77777777" w:rsidR="00D07883" w:rsidRPr="00C20CE7" w:rsidRDefault="00D07883"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0E225438" w14:textId="77777777" w:rsidR="00BB1AD0" w:rsidRPr="00C20CE7" w:rsidRDefault="00BB1AD0" w:rsidP="00E721CA">
      <w:pPr>
        <w:numPr>
          <w:ilvl w:val="0"/>
          <w:numId w:val="1"/>
        </w:numPr>
        <w:spacing w:before="100" w:beforeAutospacing="1" w:after="100" w:afterAutospacing="1" w:line="240" w:lineRule="auto"/>
        <w:ind w:left="567"/>
        <w:jc w:val="both"/>
        <w:rPr>
          <w:rFonts w:ascii="Times New Roman" w:eastAsia="Times New Roman" w:hAnsi="Times New Roman"/>
          <w:sz w:val="24"/>
          <w:szCs w:val="20"/>
        </w:rPr>
      </w:pPr>
      <w:r w:rsidRPr="00C20CE7">
        <w:rPr>
          <w:rFonts w:ascii="Times New Roman" w:hAnsi="Times New Roman"/>
          <w:sz w:val="24"/>
        </w:rPr>
        <w:t>Uveďte oprávnené náklady:</w:t>
      </w:r>
    </w:p>
    <w:p w14:paraId="2FF29C11" w14:textId="77777777" w:rsidR="00BB1AD0" w:rsidRPr="00C20CE7" w:rsidRDefault="00BB1AD0"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a) odškodnenie za všetky alebo čiastočné dodatočné náklady vzniknuté v dôsledku prijatých záväzkov;</w:t>
      </w:r>
    </w:p>
    <w:p w14:paraId="5CF3D1D5" w14:textId="77777777" w:rsidR="00BB1AD0" w:rsidRPr="00C20CE7" w:rsidRDefault="00BB1AD0"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b) straty príjmu vzniknuté v dôsledku prijatých záväzkov;</w:t>
      </w:r>
    </w:p>
    <w:p w14:paraId="102128AB" w14:textId="77777777" w:rsidR="009F0464" w:rsidRPr="00C20CE7" w:rsidRDefault="009F0464" w:rsidP="00E721CA">
      <w:pPr>
        <w:spacing w:before="100" w:beforeAutospacing="1" w:after="100" w:afterAutospacing="1" w:line="240" w:lineRule="auto"/>
        <w:ind w:left="1134" w:hanging="567"/>
        <w:jc w:val="both"/>
        <w:rPr>
          <w:rFonts w:ascii="Times New Roman" w:eastAsia="Times New Roman" w:hAnsi="Times New Roman"/>
          <w:sz w:val="24"/>
          <w:szCs w:val="24"/>
        </w:rPr>
      </w:pPr>
      <w:r w:rsidRPr="00C20CE7">
        <w:rPr>
          <w:rFonts w:ascii="Times New Roman" w:eastAsia="Times New Roman" w:hAnsi="Times New Roman"/>
          <w:sz w:val="24"/>
        </w:rPr>
        <w:fldChar w:fldCharType="begin">
          <w:ffData>
            <w:name w:val="Check1"/>
            <w:enabled/>
            <w:calcOnExit w:val="0"/>
            <w:checkBox>
              <w:sizeAuto/>
              <w:default w:val="0"/>
            </w:checkBox>
          </w:ffData>
        </w:fldChar>
      </w:r>
      <w:r w:rsidRPr="00C20CE7">
        <w:rPr>
          <w:rFonts w:ascii="Times New Roman" w:eastAsia="Times New Roman" w:hAnsi="Times New Roman"/>
          <w:sz w:val="24"/>
        </w:rPr>
        <w:instrText xml:space="preserve"> FORMCHECKBOX </w:instrText>
      </w:r>
      <w:r w:rsidR="00C20CE7" w:rsidRPr="00C20CE7">
        <w:rPr>
          <w:rFonts w:ascii="Times New Roman" w:eastAsia="Times New Roman" w:hAnsi="Times New Roman"/>
          <w:sz w:val="24"/>
        </w:rPr>
      </w:r>
      <w:r w:rsidR="00C20CE7" w:rsidRPr="00C20CE7">
        <w:rPr>
          <w:rFonts w:ascii="Times New Roman" w:eastAsia="Times New Roman" w:hAnsi="Times New Roman"/>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c) transakčné náklady.</w:t>
      </w:r>
    </w:p>
    <w:p w14:paraId="25038D7B" w14:textId="77777777" w:rsidR="00BB1AD0" w:rsidRPr="00C20CE7" w:rsidRDefault="00BB1AD0"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Ak sa pomoc poskytuje aj na investičné náklady súvisiace so záväzkami v oblasti dobrých životných podmienok zvierat podľa tohto oddielu, vyplňte formulár doplňujúcich informácií 1.1.1.1 o pomoci na investície do poľnohospodárskych podnikov v súvislosti s poľnohospodárskou prvovýrobou.</w:t>
      </w:r>
    </w:p>
    <w:p w14:paraId="784AEECD" w14:textId="124A894E" w:rsidR="00BB1AD0" w:rsidRPr="00C20CE7" w:rsidRDefault="00BB1AD0"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Ak sa poskytovaním pomoci sledujú iné ciele, ako napríklad odborná príprava a poradenské služby na pomoc poľnohospodárskym výrobcom, vyplňte formulár doplňujúcich informácií 1.1.10 o pomoci na poskytovanie technickej podpory v odvetví poľnohospodárstva.</w:t>
      </w:r>
    </w:p>
    <w:p w14:paraId="4E5C2F2A" w14:textId="77777777" w:rsidR="009F0464" w:rsidRPr="00C20CE7" w:rsidRDefault="009F0464" w:rsidP="00E721CA">
      <w:pPr>
        <w:numPr>
          <w:ilvl w:val="0"/>
          <w:numId w:val="1"/>
        </w:num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Uveďte intenzitu pomoci:………………………………………………………….</w:t>
      </w:r>
    </w:p>
    <w:p w14:paraId="6CA2BF41" w14:textId="77777777" w:rsidR="009F0464" w:rsidRPr="00C20CE7" w:rsidRDefault="009F0464"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Upozorňujeme vás, že podľa bodu 235 usmernení nesmie pomoc presiahnuť 100 % oprávnených nákladov.</w:t>
      </w:r>
    </w:p>
    <w:p w14:paraId="447058E2" w14:textId="77777777" w:rsidR="00FC50E7" w:rsidRPr="00C20CE7" w:rsidRDefault="009F0464"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 xml:space="preserve">Ak sa pomoc poskytuje na transakčné náklady, odôvodnite takéto náklady a podrobne ich opíšte: </w:t>
      </w:r>
    </w:p>
    <w:p w14:paraId="250EA7C6" w14:textId="77777777" w:rsidR="00FC50E7" w:rsidRPr="00C20CE7" w:rsidRDefault="00FC50E7"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w:t>
      </w:r>
    </w:p>
    <w:p w14:paraId="4C158804" w14:textId="77777777" w:rsidR="001A769C" w:rsidRPr="00C20CE7" w:rsidRDefault="0052273C" w:rsidP="00E721CA">
      <w:pPr>
        <w:numPr>
          <w:ilvl w:val="0"/>
          <w:numId w:val="1"/>
        </w:num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Uveďte intenzitu pomoci na transakčné náklady:……………………………….</w:t>
      </w:r>
    </w:p>
    <w:p w14:paraId="0640363C" w14:textId="77777777" w:rsidR="001A769C" w:rsidRPr="00C20CE7" w:rsidRDefault="0052273C" w:rsidP="00E721CA">
      <w:pPr>
        <w:spacing w:before="100" w:beforeAutospacing="1" w:after="100" w:afterAutospacing="1" w:line="240" w:lineRule="auto"/>
        <w:ind w:left="567"/>
        <w:jc w:val="both"/>
        <w:rPr>
          <w:rFonts w:ascii="Times New Roman" w:hAnsi="Times New Roman"/>
          <w:color w:val="000000"/>
          <w:sz w:val="24"/>
          <w:szCs w:val="24"/>
          <w:shd w:val="clear" w:color="auto" w:fill="FFFFFF"/>
        </w:rPr>
      </w:pPr>
      <w:r w:rsidRPr="00C20CE7">
        <w:rPr>
          <w:rFonts w:ascii="Times New Roman" w:hAnsi="Times New Roman"/>
          <w:color w:val="000000"/>
          <w:sz w:val="24"/>
          <w:shd w:val="clear" w:color="auto" w:fill="FFFFFF"/>
        </w:rPr>
        <w:t>Upozorňujeme vás, že podľa bodu 233 usmernení sa z pomoci môžu kryť potrebné transakčné náklady až do výšky 20 % prémie vyplatenej za záväzky v súvislosti s dobrými životnými podmienkami zvierat.</w:t>
      </w:r>
    </w:p>
    <w:p w14:paraId="459AF5B0" w14:textId="77777777" w:rsidR="00FC50E7" w:rsidRPr="00C20CE7" w:rsidRDefault="00FC50E7" w:rsidP="00E721CA">
      <w:pPr>
        <w:numPr>
          <w:ilvl w:val="0"/>
          <w:numId w:val="1"/>
        </w:num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Poskytuje sa pomoc na transakčné náklady, ktoré vznikli prijatím záväzkov v súvislosti s dobrými životnými podmienkami zvierat?</w:t>
      </w:r>
    </w:p>
    <w:p w14:paraId="218E8B6F" w14:textId="77777777" w:rsidR="00FC50E7" w:rsidRPr="00C20CE7" w:rsidRDefault="00FC50E7"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1EB2D7D4" w14:textId="77777777" w:rsidR="00FC50E7" w:rsidRPr="00C20CE7" w:rsidRDefault="00FC50E7"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 xml:space="preserve">Ak ste odpovedali áno, poskytnite presvedčivý dôkaz o takýchto nákladoch, napríklad predložením porovnania nákladov s nákladmi podnikov, ktoré takéto záväzky neprijali: </w:t>
      </w:r>
    </w:p>
    <w:p w14:paraId="4E0EB50F" w14:textId="77777777" w:rsidR="00FC50E7" w:rsidRPr="00C20CE7" w:rsidRDefault="00FC50E7"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lastRenderedPageBreak/>
        <w:t>…………………………………………………………………………………………………………………………………………………………………………………………</w:t>
      </w:r>
    </w:p>
    <w:p w14:paraId="5E65AFD2" w14:textId="77777777" w:rsidR="00B46882" w:rsidRPr="00C20CE7" w:rsidRDefault="00B46882" w:rsidP="00E721CA">
      <w:pPr>
        <w:numPr>
          <w:ilvl w:val="0"/>
          <w:numId w:val="1"/>
        </w:num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Poskytuje sa pomoc na transakčné náklady na pokračovanie záväzkov v súvislosti s dobrými životnými podmienkami zvierat, ktoré boli prijaté už v minulosti?</w:t>
      </w:r>
    </w:p>
    <w:p w14:paraId="4FCB4FE0" w14:textId="77777777" w:rsidR="00B46882" w:rsidRPr="00C20CE7" w:rsidRDefault="00B46882"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0FDEF49F" w14:textId="77777777" w:rsidR="00B46882" w:rsidRPr="00C20CE7" w:rsidRDefault="00B46882"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Ak ste odpovedali áno, preukážte, že takéto náklady naďalej vznikajú alebo že vznikajú nové transakčné náklady:</w:t>
      </w:r>
    </w:p>
    <w:p w14:paraId="775B302E" w14:textId="77777777" w:rsidR="00B46882" w:rsidRPr="00C20CE7" w:rsidRDefault="00B46882"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w:t>
      </w:r>
    </w:p>
    <w:p w14:paraId="3CFFD58D" w14:textId="77777777" w:rsidR="00B46882" w:rsidRPr="00C20CE7" w:rsidRDefault="00B46882"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Upozorňujeme vás, že podľa bodu 233 usmernení Komisia neschváli štátnu pomoc na transakčné náklady na pokračovanie záväzkov v súvislosti s dobrými životnými podmienkami zvierat, ktoré už v minulosti boli prijaté, ak členský štát nepreukáže, že takéto náklady aj naďalej vznikajú alebo že vznikajú nové transakčné náklady.</w:t>
      </w:r>
    </w:p>
    <w:p w14:paraId="33BFBB3D" w14:textId="77777777" w:rsidR="00C9454F" w:rsidRPr="00C20CE7" w:rsidRDefault="00C9454F" w:rsidP="00E721CA">
      <w:pPr>
        <w:numPr>
          <w:ilvl w:val="0"/>
          <w:numId w:val="1"/>
        </w:num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Vypočítavajú sa transakčné náklady na základe priemerných nákladov?</w:t>
      </w:r>
    </w:p>
    <w:p w14:paraId="69B5C667" w14:textId="77777777" w:rsidR="00C9454F" w:rsidRPr="00C20CE7" w:rsidRDefault="00C9454F"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16A6334B" w14:textId="77777777" w:rsidR="00C9454F" w:rsidRPr="00C20CE7" w:rsidRDefault="00C9454F"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Ak ste odpovedali áno, preukážte, že najmä v prípade veľkých podnikov nedochádza k nadmernej kompenzácii:</w:t>
      </w:r>
    </w:p>
    <w:p w14:paraId="010A8EF4" w14:textId="77777777" w:rsidR="00C9454F" w:rsidRPr="00C20CE7" w:rsidRDefault="00C9454F"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w:t>
      </w:r>
    </w:p>
    <w:p w14:paraId="5ABB5C3C" w14:textId="77777777" w:rsidR="00A817DF" w:rsidRPr="00C20CE7" w:rsidRDefault="00A817DF" w:rsidP="00E721CA">
      <w:pPr>
        <w:numPr>
          <w:ilvl w:val="0"/>
          <w:numId w:val="1"/>
        </w:num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Vypočítavajú sa transakčné náklady na základe priemerných poľnohospodárskych podnikov?</w:t>
      </w:r>
    </w:p>
    <w:p w14:paraId="6429843B" w14:textId="77777777" w:rsidR="00A817DF" w:rsidRPr="00C20CE7" w:rsidRDefault="00A817DF"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747B9B5F" w14:textId="77777777" w:rsidR="00A817DF" w:rsidRPr="00C20CE7" w:rsidRDefault="00A817DF"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Ak ste odpovedali áno, preukážte, že najmä v prípade veľkých podnikov nedochádza k nadmernej kompenzácii:</w:t>
      </w:r>
    </w:p>
    <w:p w14:paraId="450477C8" w14:textId="77777777" w:rsidR="00A817DF" w:rsidRPr="00C20CE7" w:rsidRDefault="00A817DF"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w:t>
      </w:r>
    </w:p>
    <w:p w14:paraId="1CEE3384" w14:textId="77777777" w:rsidR="003301FB" w:rsidRPr="00C20CE7" w:rsidRDefault="003301FB" w:rsidP="00E721CA">
      <w:pPr>
        <w:numPr>
          <w:ilvl w:val="0"/>
          <w:numId w:val="1"/>
        </w:numPr>
        <w:spacing w:before="100" w:beforeAutospacing="1" w:after="100" w:afterAutospacing="1" w:line="240" w:lineRule="auto"/>
        <w:ind w:left="567"/>
        <w:jc w:val="both"/>
        <w:rPr>
          <w:rFonts w:ascii="Times New Roman" w:eastAsia="Times New Roman" w:hAnsi="Times New Roman"/>
          <w:sz w:val="24"/>
          <w:szCs w:val="20"/>
        </w:rPr>
      </w:pPr>
      <w:r w:rsidRPr="00C20CE7">
        <w:rPr>
          <w:rFonts w:ascii="Times New Roman" w:hAnsi="Times New Roman"/>
          <w:sz w:val="24"/>
        </w:rPr>
        <w:t>Poskytuje sa pomoc na jednotku?</w:t>
      </w:r>
    </w:p>
    <w:p w14:paraId="67CD8826" w14:textId="2E69EDF5" w:rsidR="003301FB" w:rsidRPr="00C20CE7" w:rsidRDefault="003301FB"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69B8B6AD" w14:textId="77777777" w:rsidR="003301FB" w:rsidRPr="00C20CE7" w:rsidRDefault="003301FB"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Uveďte podrobnosti:</w:t>
      </w:r>
    </w:p>
    <w:p w14:paraId="6E4502CE" w14:textId="77777777" w:rsidR="003301FB" w:rsidRPr="00C20CE7" w:rsidRDefault="003301FB"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w:t>
      </w:r>
    </w:p>
    <w:p w14:paraId="00A4531D" w14:textId="77777777" w:rsidR="008C61DE" w:rsidRPr="00C20CE7" w:rsidRDefault="008C16F1" w:rsidP="00E721CA">
      <w:pPr>
        <w:numPr>
          <w:ilvl w:val="0"/>
          <w:numId w:val="1"/>
        </w:num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lastRenderedPageBreak/>
        <w:t>Poskytuje sa pomoc vo forme paušálnej platby?</w:t>
      </w:r>
    </w:p>
    <w:p w14:paraId="352804B9" w14:textId="77777777" w:rsidR="008C16F1" w:rsidRPr="00C20CE7" w:rsidRDefault="008C16F1" w:rsidP="00E721CA">
      <w:pPr>
        <w:spacing w:before="100" w:beforeAutospacing="1" w:after="100" w:afterAutospacing="1" w:line="240" w:lineRule="auto"/>
        <w:ind w:left="567"/>
        <w:jc w:val="both"/>
        <w:rPr>
          <w:rFonts w:ascii="Times New Roman" w:eastAsia="Times New Roman" w:hAnsi="Times New Roman"/>
          <w:sz w:val="24"/>
          <w:szCs w:val="20"/>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4219E7BD" w14:textId="77777777" w:rsidR="008C16F1" w:rsidRPr="00C20CE7" w:rsidRDefault="008C16F1"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Ak ste odpovedali áno, odôvodnite:</w:t>
      </w:r>
    </w:p>
    <w:p w14:paraId="76DC1433" w14:textId="77777777" w:rsidR="008C16F1" w:rsidRPr="00C20CE7" w:rsidRDefault="008C16F1" w:rsidP="00E721CA">
      <w:pPr>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w:t>
      </w:r>
    </w:p>
    <w:p w14:paraId="73FFE0DC" w14:textId="77777777" w:rsidR="00D07883" w:rsidRPr="00C20CE7" w:rsidRDefault="0005266F"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Upozorňujeme vás, že podľa bodu 236 usmernení môže členský štát poskytnúť pomoc vo forme paušálnej platby iba v riadne odôvodnených prípadoch.</w:t>
      </w:r>
    </w:p>
    <w:p w14:paraId="683DA7FE" w14:textId="77777777" w:rsidR="008C61DE" w:rsidRPr="00C20CE7" w:rsidRDefault="008C61DE" w:rsidP="00E721CA">
      <w:pPr>
        <w:numPr>
          <w:ilvl w:val="0"/>
          <w:numId w:val="1"/>
        </w:numPr>
        <w:autoSpaceDE w:val="0"/>
        <w:autoSpaceDN w:val="0"/>
        <w:adjustRightInd w:val="0"/>
        <w:spacing w:before="100" w:beforeAutospacing="1" w:after="100" w:afterAutospacing="1" w:line="240" w:lineRule="auto"/>
        <w:ind w:left="567"/>
        <w:jc w:val="both"/>
        <w:rPr>
          <w:rFonts w:ascii="Times New Roman" w:hAnsi="Times New Roman"/>
          <w:sz w:val="24"/>
          <w:szCs w:val="24"/>
        </w:rPr>
      </w:pPr>
      <w:r w:rsidRPr="00C20CE7">
        <w:rPr>
          <w:rFonts w:ascii="Times New Roman" w:hAnsi="Times New Roman"/>
          <w:sz w:val="24"/>
        </w:rPr>
        <w:t>Poskytuje sa pomoc ako jednorazová platba na jednotku?</w:t>
      </w:r>
    </w:p>
    <w:p w14:paraId="04AB40EC" w14:textId="77777777" w:rsidR="008C61DE" w:rsidRPr="00C20CE7" w:rsidRDefault="008C61DE"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75FA3F78" w14:textId="77777777" w:rsidR="00F94422" w:rsidRPr="00C20CE7" w:rsidRDefault="00F94422" w:rsidP="00E721CA">
      <w:pPr>
        <w:spacing w:before="100" w:beforeAutospacing="1" w:after="100" w:afterAutospacing="1" w:line="240" w:lineRule="auto"/>
        <w:ind w:left="567"/>
        <w:jc w:val="both"/>
        <w:rPr>
          <w:rFonts w:ascii="Times New Roman" w:eastAsia="Times New Roman" w:hAnsi="Times New Roman"/>
          <w:sz w:val="24"/>
          <w:szCs w:val="20"/>
        </w:rPr>
      </w:pPr>
      <w:r w:rsidRPr="00C20CE7">
        <w:rPr>
          <w:rFonts w:ascii="Times New Roman" w:hAnsi="Times New Roman"/>
          <w:sz w:val="24"/>
        </w:rPr>
        <w:t>Ak ste odpovedali áno, odôvodnite:</w:t>
      </w:r>
    </w:p>
    <w:p w14:paraId="1C61D00A" w14:textId="77777777" w:rsidR="00F94422" w:rsidRPr="00C20CE7" w:rsidRDefault="00F94422"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w:t>
      </w:r>
    </w:p>
    <w:p w14:paraId="3A335A54" w14:textId="77777777" w:rsidR="00F94422" w:rsidRPr="00C20CE7" w:rsidRDefault="00F94422" w:rsidP="00E721CA">
      <w:pPr>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Upozorňujeme vás, že podľa bodu 236 usmernení môže členský štát poskytnúť pomoc vo forme jednorazovej platby na jednotku iba v riadne odôvodnených prípadoch.</w:t>
      </w:r>
    </w:p>
    <w:p w14:paraId="7937EBB2" w14:textId="77777777" w:rsidR="008C61DE" w:rsidRPr="00C20CE7" w:rsidRDefault="008C61DE" w:rsidP="00E721CA">
      <w:pPr>
        <w:numPr>
          <w:ilvl w:val="0"/>
          <w:numId w:val="1"/>
        </w:num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0"/>
        </w:rPr>
      </w:pPr>
      <w:r w:rsidRPr="00C20CE7">
        <w:rPr>
          <w:rFonts w:ascii="Times New Roman" w:hAnsi="Times New Roman"/>
          <w:sz w:val="24"/>
        </w:rPr>
        <w:t>Ak ste na otázku 24 tohto formulára doplňujúcich informácií odpovedali áno, vypočíta sa takáto kompenzácia na základe vzniknutých dodatočných nákladov a straty príjmu?</w:t>
      </w:r>
    </w:p>
    <w:p w14:paraId="26D0D209" w14:textId="77777777" w:rsidR="0005266F" w:rsidRPr="00C20CE7" w:rsidRDefault="0005266F"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tbl>
      <w:tblPr>
        <w:tblW w:w="0" w:type="auto"/>
        <w:tblInd w:w="6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72"/>
      </w:tblGrid>
      <w:tr w:rsidR="00D07883" w:rsidRPr="00C20CE7" w14:paraId="3E46EAA1" w14:textId="77777777" w:rsidTr="007F0D68">
        <w:tc>
          <w:tcPr>
            <w:tcW w:w="8472" w:type="dxa"/>
            <w:shd w:val="pct15" w:color="auto" w:fill="FFFFFF"/>
          </w:tcPr>
          <w:p w14:paraId="5A3855F8" w14:textId="77777777" w:rsidR="00D07883" w:rsidRPr="00C20CE7" w:rsidRDefault="00D07883" w:rsidP="00E721CA">
            <w:pPr>
              <w:shd w:val="pct20" w:color="auto" w:fill="FFFFFF"/>
              <w:spacing w:before="100" w:beforeAutospacing="1" w:after="100" w:afterAutospacing="1" w:line="240" w:lineRule="auto"/>
              <w:ind w:left="432" w:hanging="432"/>
              <w:jc w:val="center"/>
              <w:rPr>
                <w:rFonts w:ascii="Times New Roman" w:eastAsia="Times New Roman" w:hAnsi="Times New Roman"/>
                <w:b/>
                <w:smallCaps/>
                <w:sz w:val="24"/>
                <w:szCs w:val="20"/>
              </w:rPr>
            </w:pPr>
            <w:r w:rsidRPr="00C20CE7">
              <w:br w:type="page"/>
            </w:r>
            <w:r w:rsidRPr="00C20CE7">
              <w:rPr>
                <w:rFonts w:ascii="Times New Roman" w:hAnsi="Times New Roman"/>
                <w:b/>
                <w:sz w:val="24"/>
              </w:rPr>
              <w:t>DOLOŽKA O REVÍZII</w:t>
            </w:r>
          </w:p>
        </w:tc>
      </w:tr>
    </w:tbl>
    <w:p w14:paraId="48BB2F37" w14:textId="77777777" w:rsidR="00D07883" w:rsidRPr="00C20CE7" w:rsidRDefault="00D07883" w:rsidP="00E721CA">
      <w:pPr>
        <w:numPr>
          <w:ilvl w:val="0"/>
          <w:numId w:val="1"/>
        </w:numPr>
        <w:spacing w:before="100" w:beforeAutospacing="1" w:after="100" w:afterAutospacing="1" w:line="240" w:lineRule="auto"/>
        <w:ind w:left="567"/>
        <w:jc w:val="both"/>
        <w:rPr>
          <w:rFonts w:ascii="Times New Roman" w:eastAsia="Times New Roman" w:hAnsi="Times New Roman"/>
          <w:sz w:val="24"/>
          <w:szCs w:val="20"/>
        </w:rPr>
      </w:pPr>
      <w:r w:rsidRPr="00C20CE7">
        <w:rPr>
          <w:rFonts w:ascii="Times New Roman" w:hAnsi="Times New Roman"/>
          <w:sz w:val="24"/>
        </w:rPr>
        <w:t>Je v prípade operácií podporovaných podľa tohto oddielu zavedená doložka o revízii?</w:t>
      </w:r>
    </w:p>
    <w:p w14:paraId="73714EDC" w14:textId="77777777" w:rsidR="00D07883" w:rsidRPr="00C20CE7" w:rsidRDefault="00D07883"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sz w:val="24"/>
        </w:rPr>
        <w:fldChar w:fldCharType="end"/>
      </w:r>
      <w:r w:rsidRPr="00C20CE7">
        <w:tab/>
      </w:r>
      <w:r w:rsidRPr="00C20CE7">
        <w:rPr>
          <w:rFonts w:ascii="Times New Roman" w:hAnsi="Times New Roman"/>
          <w:sz w:val="24"/>
        </w:rPr>
        <w:t>nie</w:t>
      </w:r>
    </w:p>
    <w:p w14:paraId="49159F79" w14:textId="77777777" w:rsidR="00D07883" w:rsidRPr="00C20CE7" w:rsidRDefault="006F11A3"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hAnsi="Times New Roman"/>
          <w:sz w:val="24"/>
        </w:rPr>
        <w:t>Upozorňujeme vás, že podľa bodu 647 usmernení je členský štát povinný zaviesť doložku o revízii s cieľom zabezpečiť prispôsobenie operácií v prípade zmien príslušných záväzných noriem, požiadaviek alebo povinností uvedených v časti II oddiele 1.1.5 usmernení, ktorých rámec musia presahovať záväzky uvedené v danom oddiele.</w:t>
      </w:r>
    </w:p>
    <w:p w14:paraId="0A027327" w14:textId="77777777" w:rsidR="00D07883" w:rsidRPr="00C20CE7" w:rsidRDefault="00D07883" w:rsidP="00E721CA">
      <w:pPr>
        <w:numPr>
          <w:ilvl w:val="0"/>
          <w:numId w:val="1"/>
        </w:numPr>
        <w:spacing w:before="100" w:beforeAutospacing="1" w:after="100" w:afterAutospacing="1" w:line="240" w:lineRule="auto"/>
        <w:ind w:left="567"/>
        <w:jc w:val="both"/>
        <w:rPr>
          <w:rFonts w:ascii="Times New Roman" w:eastAsia="Times New Roman" w:hAnsi="Times New Roman"/>
          <w:sz w:val="24"/>
          <w:szCs w:val="20"/>
        </w:rPr>
      </w:pPr>
      <w:r w:rsidRPr="00C20CE7">
        <w:rPr>
          <w:rFonts w:ascii="Times New Roman" w:hAnsi="Times New Roman"/>
          <w:sz w:val="24"/>
        </w:rPr>
        <w:t>Presahuje pomoc programové obdobie rozvoja vidieka 2023 – 2027?</w:t>
      </w:r>
    </w:p>
    <w:p w14:paraId="2A6E2912" w14:textId="77777777" w:rsidR="00D07883" w:rsidRPr="00C20CE7" w:rsidRDefault="00D07883"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noProof/>
          <w:sz w:val="24"/>
          <w:szCs w:val="24"/>
        </w:rPr>
      </w:pP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áno</w:t>
      </w:r>
      <w:r w:rsidRPr="00C20CE7">
        <w:tab/>
      </w:r>
      <w:r w:rsidRPr="00C20CE7">
        <w:tab/>
      </w:r>
      <w:r w:rsidRPr="00C20CE7">
        <w:tab/>
      </w:r>
      <w:r w:rsidRPr="00C20CE7">
        <w:rPr>
          <w:rFonts w:ascii="Times New Roman" w:eastAsia="Times New Roman" w:hAnsi="Times New Roman"/>
          <w:b/>
          <w:sz w:val="24"/>
        </w:rPr>
        <w:fldChar w:fldCharType="begin">
          <w:ffData>
            <w:name w:val="Check1"/>
            <w:enabled/>
            <w:calcOnExit w:val="0"/>
            <w:checkBox>
              <w:sizeAuto/>
              <w:default w:val="0"/>
            </w:checkBox>
          </w:ffData>
        </w:fldChar>
      </w:r>
      <w:r w:rsidRPr="00C20CE7">
        <w:rPr>
          <w:rFonts w:ascii="Times New Roman" w:eastAsia="Times New Roman" w:hAnsi="Times New Roman"/>
          <w:b/>
          <w:sz w:val="24"/>
        </w:rPr>
        <w:instrText xml:space="preserve"> FORMCHECKBOX </w:instrText>
      </w:r>
      <w:r w:rsidR="00C20CE7" w:rsidRPr="00C20CE7">
        <w:rPr>
          <w:rFonts w:ascii="Times New Roman" w:eastAsia="Times New Roman" w:hAnsi="Times New Roman"/>
          <w:b/>
          <w:sz w:val="24"/>
        </w:rPr>
      </w:r>
      <w:r w:rsidR="00C20CE7" w:rsidRPr="00C20CE7">
        <w:rPr>
          <w:rFonts w:ascii="Times New Roman" w:eastAsia="Times New Roman" w:hAnsi="Times New Roman"/>
          <w:b/>
          <w:sz w:val="24"/>
        </w:rPr>
        <w:fldChar w:fldCharType="separate"/>
      </w:r>
      <w:r w:rsidRPr="00C20CE7">
        <w:rPr>
          <w:rFonts w:ascii="Times New Roman" w:eastAsia="Times New Roman" w:hAnsi="Times New Roman"/>
          <w:b/>
          <w:sz w:val="24"/>
        </w:rPr>
        <w:fldChar w:fldCharType="end"/>
      </w:r>
      <w:r w:rsidRPr="00C20CE7">
        <w:tab/>
      </w:r>
      <w:r w:rsidRPr="00C20CE7">
        <w:rPr>
          <w:rFonts w:ascii="Times New Roman" w:hAnsi="Times New Roman"/>
          <w:sz w:val="24"/>
        </w:rPr>
        <w:t>nie</w:t>
      </w:r>
    </w:p>
    <w:p w14:paraId="77D1247D" w14:textId="36907B09" w:rsidR="00D07883" w:rsidRPr="00C20CE7" w:rsidRDefault="00D07883" w:rsidP="00E721CA">
      <w:pPr>
        <w:autoSpaceDE w:val="0"/>
        <w:autoSpaceDN w:val="0"/>
        <w:adjustRightInd w:val="0"/>
        <w:spacing w:before="100" w:beforeAutospacing="1" w:after="100" w:afterAutospacing="1" w:line="240" w:lineRule="auto"/>
        <w:ind w:left="567"/>
        <w:jc w:val="both"/>
        <w:rPr>
          <w:rFonts w:ascii="Times New Roman" w:eastAsia="Times New Roman" w:hAnsi="Times New Roman"/>
          <w:sz w:val="24"/>
          <w:szCs w:val="24"/>
        </w:rPr>
      </w:pPr>
      <w:r w:rsidRPr="00C20CE7">
        <w:rPr>
          <w:rFonts w:ascii="Times New Roman" w:hAnsi="Times New Roman"/>
          <w:sz w:val="24"/>
        </w:rPr>
        <w:t>Ak ste odpovedali áno, upozorňujeme vás, že podľa bodu 648 usmernení je nutné zaviesť doložku o revízii v prípade pomoci podľa časti II oddielu 1.1.5 usmernení s cieľom umožniť prispôsobenie operácií právnemu rámcu nasledujúceho programového obdobia rozvoja vidieka.</w:t>
      </w:r>
    </w:p>
    <w:p w14:paraId="00A6FDB0" w14:textId="77777777" w:rsidR="00D07883" w:rsidRPr="00C20CE7" w:rsidRDefault="00D07883" w:rsidP="00E721CA">
      <w:pPr>
        <w:pBdr>
          <w:top w:val="single" w:sz="4" w:space="1" w:color="auto"/>
          <w:left w:val="single" w:sz="4" w:space="4" w:color="auto"/>
          <w:bottom w:val="single" w:sz="4" w:space="1" w:color="auto"/>
          <w:right w:val="single" w:sz="4" w:space="4" w:color="auto"/>
        </w:pBdr>
        <w:shd w:val="pct20" w:color="auto" w:fill="FFFFFF"/>
        <w:spacing w:before="100" w:beforeAutospacing="1" w:after="100" w:afterAutospacing="1" w:line="240" w:lineRule="auto"/>
        <w:jc w:val="center"/>
        <w:rPr>
          <w:rFonts w:ascii="Times New Roman" w:eastAsia="Times New Roman" w:hAnsi="Times New Roman"/>
          <w:b/>
          <w:sz w:val="24"/>
          <w:szCs w:val="24"/>
        </w:rPr>
      </w:pPr>
      <w:r w:rsidRPr="00C20CE7">
        <w:rPr>
          <w:rFonts w:ascii="Times New Roman" w:hAnsi="Times New Roman"/>
          <w:b/>
          <w:sz w:val="24"/>
        </w:rPr>
        <w:lastRenderedPageBreak/>
        <w:t>ĎALŠIE INFORMÁCIE</w:t>
      </w:r>
    </w:p>
    <w:p w14:paraId="5390657B" w14:textId="77777777" w:rsidR="00D07883" w:rsidRPr="00C20CE7" w:rsidRDefault="00D07883" w:rsidP="00E721CA">
      <w:pPr>
        <w:autoSpaceDE w:val="0"/>
        <w:autoSpaceDN w:val="0"/>
        <w:adjustRightInd w:val="0"/>
        <w:spacing w:before="100" w:beforeAutospacing="1" w:after="100" w:afterAutospacing="1" w:line="240" w:lineRule="auto"/>
        <w:jc w:val="both"/>
        <w:rPr>
          <w:rFonts w:ascii="Times New Roman" w:eastAsia="Times New Roman" w:hAnsi="Times New Roman"/>
          <w:sz w:val="24"/>
          <w:szCs w:val="24"/>
        </w:rPr>
      </w:pPr>
      <w:r w:rsidRPr="00C20CE7">
        <w:rPr>
          <w:rFonts w:ascii="Times New Roman" w:hAnsi="Times New Roman"/>
          <w:sz w:val="24"/>
        </w:rPr>
        <w:t>Uveďte všetky ďalšie informácie, ktoré možno považovať za významné z hľadiska posúdenia predmetného opatrenia v rámci tohto oddielu usmernení.</w:t>
      </w:r>
    </w:p>
    <w:p w14:paraId="30195D78" w14:textId="77777777" w:rsidR="001A718E" w:rsidRPr="00C20CE7" w:rsidRDefault="00D07883" w:rsidP="00E721CA">
      <w:pPr>
        <w:spacing w:before="100" w:beforeAutospacing="1" w:after="100" w:afterAutospacing="1" w:line="240" w:lineRule="auto"/>
      </w:pPr>
      <w:r w:rsidRPr="00C20CE7">
        <w:rPr>
          <w:rFonts w:ascii="Times New Roman" w:hAnsi="Times New Roman"/>
          <w:sz w:val="24"/>
        </w:rPr>
        <w:t>………………………………………………………………………………………………….</w:t>
      </w:r>
    </w:p>
    <w:sectPr w:rsidR="001A718E" w:rsidRPr="00C20CE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494A2" w14:textId="77777777" w:rsidR="002D197C" w:rsidRDefault="002D197C">
      <w:pPr>
        <w:spacing w:after="0" w:line="240" w:lineRule="auto"/>
      </w:pPr>
      <w:r>
        <w:separator/>
      </w:r>
    </w:p>
  </w:endnote>
  <w:endnote w:type="continuationSeparator" w:id="0">
    <w:p w14:paraId="6FC558A1" w14:textId="77777777" w:rsidR="002D197C" w:rsidRDefault="002D1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02" w14:textId="2C559415" w:rsidR="001332C2" w:rsidRDefault="001332C2">
    <w:pPr>
      <w:pStyle w:val="Footer"/>
      <w:jc w:val="center"/>
    </w:pPr>
    <w:r>
      <w:fldChar w:fldCharType="begin"/>
    </w:r>
    <w:r>
      <w:instrText xml:space="preserve"> PAGE   \* MERGEFORMAT </w:instrText>
    </w:r>
    <w:r>
      <w:fldChar w:fldCharType="separate"/>
    </w:r>
    <w:r w:rsidR="00C20CE7">
      <w:rPr>
        <w:noProof/>
      </w:rPr>
      <w:t>7</w:t>
    </w:r>
    <w:r>
      <w:fldChar w:fldCharType="end"/>
    </w:r>
  </w:p>
  <w:p w14:paraId="45540767" w14:textId="77777777" w:rsidR="001332C2" w:rsidRDefault="001332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3A627" w14:textId="77777777" w:rsidR="002D197C" w:rsidRDefault="002D197C">
      <w:pPr>
        <w:spacing w:after="0" w:line="240" w:lineRule="auto"/>
      </w:pPr>
      <w:r>
        <w:separator/>
      </w:r>
    </w:p>
  </w:footnote>
  <w:footnote w:type="continuationSeparator" w:id="0">
    <w:p w14:paraId="761D98B5" w14:textId="77777777" w:rsidR="002D197C" w:rsidRDefault="002D197C">
      <w:pPr>
        <w:spacing w:after="0" w:line="240" w:lineRule="auto"/>
      </w:pPr>
      <w:r>
        <w:continuationSeparator/>
      </w:r>
    </w:p>
  </w:footnote>
  <w:footnote w:id="1">
    <w:p w14:paraId="08C39E59" w14:textId="014EF353" w:rsidR="00885316" w:rsidRPr="007F0D68" w:rsidRDefault="00885316">
      <w:pPr>
        <w:pStyle w:val="FootnoteText"/>
      </w:pPr>
      <w:r>
        <w:rPr>
          <w:rStyle w:val="FootnoteReference"/>
        </w:rPr>
        <w:footnoteRef/>
      </w:r>
      <w:r>
        <w:t xml:space="preserve"> </w:t>
      </w:r>
      <w:r w:rsidR="00C20CE7">
        <w:tab/>
      </w:r>
      <w:hyperlink r:id="rId1" w:history="1">
        <w:r>
          <w:rPr>
            <w:rStyle w:val="Hyperlink"/>
          </w:rPr>
          <w:t>EUR-Lex – 32021R2115 – SK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5BB5" w14:textId="77777777" w:rsidR="001332C2" w:rsidRDefault="001332C2" w:rsidP="001332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55AE2"/>
    <w:multiLevelType w:val="hybridMultilevel"/>
    <w:tmpl w:val="FB4A0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D33524"/>
    <w:multiLevelType w:val="hybridMultilevel"/>
    <w:tmpl w:val="DD5A86F2"/>
    <w:lvl w:ilvl="0" w:tplc="752A394C">
      <w:start w:val="1"/>
      <w:numFmt w:val="decimal"/>
      <w:lvlText w:val="%1."/>
      <w:lvlJc w:val="left"/>
      <w:pPr>
        <w:ind w:left="930" w:hanging="570"/>
      </w:pPr>
      <w:rPr>
        <w:rFonts w:ascii="Times New Roman" w:eastAsia="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3E7BF9"/>
    <w:multiLevelType w:val="hybridMultilevel"/>
    <w:tmpl w:val="A6DE3E26"/>
    <w:lvl w:ilvl="0" w:tplc="752A394C">
      <w:start w:val="1"/>
      <w:numFmt w:val="decimal"/>
      <w:lvlText w:val="%1."/>
      <w:lvlJc w:val="left"/>
      <w:pPr>
        <w:ind w:left="930" w:hanging="570"/>
      </w:pPr>
      <w:rPr>
        <w:rFonts w:ascii="Times New Roman" w:eastAsia="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F922DAC"/>
    <w:multiLevelType w:val="hybridMultilevel"/>
    <w:tmpl w:val="8D72D9DA"/>
    <w:lvl w:ilvl="0" w:tplc="752A394C">
      <w:start w:val="1"/>
      <w:numFmt w:val="decimal"/>
      <w:lvlText w:val="%1."/>
      <w:lvlJc w:val="left"/>
      <w:pPr>
        <w:ind w:left="930" w:hanging="570"/>
      </w:pPr>
      <w:rPr>
        <w:rFonts w:ascii="Times New Roman" w:eastAsia="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0DB53E6"/>
    <w:multiLevelType w:val="hybridMultilevel"/>
    <w:tmpl w:val="BBD0AF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D07883"/>
    <w:rsid w:val="00032DEF"/>
    <w:rsid w:val="0005266F"/>
    <w:rsid w:val="000A32D1"/>
    <w:rsid w:val="001332C2"/>
    <w:rsid w:val="00157FD4"/>
    <w:rsid w:val="00172B81"/>
    <w:rsid w:val="00177A10"/>
    <w:rsid w:val="001A718E"/>
    <w:rsid w:val="001A769C"/>
    <w:rsid w:val="00252277"/>
    <w:rsid w:val="002B1893"/>
    <w:rsid w:val="002D197C"/>
    <w:rsid w:val="002E31AF"/>
    <w:rsid w:val="003210CB"/>
    <w:rsid w:val="003301FB"/>
    <w:rsid w:val="00331BBB"/>
    <w:rsid w:val="00366F1E"/>
    <w:rsid w:val="0042041D"/>
    <w:rsid w:val="0052273C"/>
    <w:rsid w:val="00576478"/>
    <w:rsid w:val="005937DA"/>
    <w:rsid w:val="00613431"/>
    <w:rsid w:val="0063244C"/>
    <w:rsid w:val="00642138"/>
    <w:rsid w:val="006609BB"/>
    <w:rsid w:val="00670077"/>
    <w:rsid w:val="006C026D"/>
    <w:rsid w:val="006E40A7"/>
    <w:rsid w:val="006F11A3"/>
    <w:rsid w:val="00715B6B"/>
    <w:rsid w:val="00747532"/>
    <w:rsid w:val="00786CAB"/>
    <w:rsid w:val="007F0A8E"/>
    <w:rsid w:val="007F0D68"/>
    <w:rsid w:val="00823C93"/>
    <w:rsid w:val="00885316"/>
    <w:rsid w:val="008B67B4"/>
    <w:rsid w:val="008C162C"/>
    <w:rsid w:val="008C16F1"/>
    <w:rsid w:val="008C61DE"/>
    <w:rsid w:val="0094631C"/>
    <w:rsid w:val="00956DB4"/>
    <w:rsid w:val="009850BA"/>
    <w:rsid w:val="009D2AF4"/>
    <w:rsid w:val="009F0464"/>
    <w:rsid w:val="00A817DF"/>
    <w:rsid w:val="00AA59E7"/>
    <w:rsid w:val="00B227B6"/>
    <w:rsid w:val="00B30E96"/>
    <w:rsid w:val="00B46882"/>
    <w:rsid w:val="00B80AC7"/>
    <w:rsid w:val="00BB1AD0"/>
    <w:rsid w:val="00C20CE7"/>
    <w:rsid w:val="00C62F0B"/>
    <w:rsid w:val="00C9454F"/>
    <w:rsid w:val="00CE5DA3"/>
    <w:rsid w:val="00D07883"/>
    <w:rsid w:val="00D24DE9"/>
    <w:rsid w:val="00D56358"/>
    <w:rsid w:val="00D94086"/>
    <w:rsid w:val="00DD60B8"/>
    <w:rsid w:val="00E2337C"/>
    <w:rsid w:val="00E6701E"/>
    <w:rsid w:val="00E721CA"/>
    <w:rsid w:val="00E735B5"/>
    <w:rsid w:val="00F76E11"/>
    <w:rsid w:val="00F93EAC"/>
    <w:rsid w:val="00F94422"/>
    <w:rsid w:val="00FC50E7"/>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1F5DEA90"/>
  <w15:chartTrackingRefBased/>
  <w15:docId w15:val="{C905724F-FEFA-4A2B-803B-5F446812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883"/>
    <w:pPr>
      <w:tabs>
        <w:tab w:val="center" w:pos="4536"/>
        <w:tab w:val="right" w:pos="9072"/>
      </w:tabs>
    </w:pPr>
  </w:style>
  <w:style w:type="character" w:customStyle="1" w:styleId="HeaderChar">
    <w:name w:val="Header Char"/>
    <w:link w:val="Header"/>
    <w:uiPriority w:val="99"/>
    <w:rsid w:val="00D07883"/>
    <w:rPr>
      <w:rFonts w:ascii="Calibri" w:eastAsia="Calibri" w:hAnsi="Calibri" w:cs="Times New Roman"/>
    </w:rPr>
  </w:style>
  <w:style w:type="paragraph" w:styleId="Footer">
    <w:name w:val="footer"/>
    <w:basedOn w:val="Normal"/>
    <w:link w:val="FooterChar"/>
    <w:uiPriority w:val="99"/>
    <w:unhideWhenUsed/>
    <w:rsid w:val="00D07883"/>
    <w:pPr>
      <w:tabs>
        <w:tab w:val="center" w:pos="4536"/>
        <w:tab w:val="right" w:pos="9072"/>
      </w:tabs>
    </w:pPr>
  </w:style>
  <w:style w:type="character" w:customStyle="1" w:styleId="FooterChar">
    <w:name w:val="Footer Char"/>
    <w:link w:val="Footer"/>
    <w:uiPriority w:val="99"/>
    <w:rsid w:val="00D07883"/>
    <w:rPr>
      <w:rFonts w:ascii="Calibri" w:eastAsia="Calibri" w:hAnsi="Calibri" w:cs="Times New Roman"/>
    </w:rPr>
  </w:style>
  <w:style w:type="paragraph" w:styleId="BalloonText">
    <w:name w:val="Balloon Text"/>
    <w:basedOn w:val="Normal"/>
    <w:link w:val="BalloonTextChar"/>
    <w:uiPriority w:val="99"/>
    <w:semiHidden/>
    <w:unhideWhenUsed/>
    <w:rsid w:val="0094631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4631C"/>
    <w:rPr>
      <w:rFonts w:ascii="Segoe UI" w:hAnsi="Segoe UI" w:cs="Segoe UI"/>
      <w:sz w:val="18"/>
      <w:szCs w:val="18"/>
      <w:lang w:eastAsia="en-US"/>
    </w:rPr>
  </w:style>
  <w:style w:type="paragraph" w:styleId="Revision">
    <w:name w:val="Revision"/>
    <w:hidden/>
    <w:uiPriority w:val="99"/>
    <w:semiHidden/>
    <w:rsid w:val="00172B81"/>
    <w:rPr>
      <w:sz w:val="22"/>
      <w:szCs w:val="22"/>
    </w:rPr>
  </w:style>
  <w:style w:type="paragraph" w:customStyle="1" w:styleId="Text1">
    <w:name w:val="Text 1"/>
    <w:basedOn w:val="Normal"/>
    <w:rsid w:val="00BB1AD0"/>
    <w:pPr>
      <w:spacing w:after="0" w:line="240" w:lineRule="auto"/>
      <w:ind w:left="851"/>
    </w:pPr>
    <w:rPr>
      <w:rFonts w:ascii="Times New Roman" w:hAnsi="Times New Roman"/>
      <w:sz w:val="24"/>
      <w:szCs w:val="24"/>
    </w:rPr>
  </w:style>
  <w:style w:type="paragraph" w:styleId="FootnoteText">
    <w:name w:val="footnote text"/>
    <w:basedOn w:val="Normal"/>
    <w:link w:val="FootnoteTextChar"/>
    <w:uiPriority w:val="99"/>
    <w:semiHidden/>
    <w:unhideWhenUsed/>
    <w:rsid w:val="00885316"/>
    <w:rPr>
      <w:sz w:val="20"/>
      <w:szCs w:val="20"/>
    </w:rPr>
  </w:style>
  <w:style w:type="character" w:customStyle="1" w:styleId="FootnoteTextChar">
    <w:name w:val="Footnote Text Char"/>
    <w:link w:val="FootnoteText"/>
    <w:uiPriority w:val="99"/>
    <w:semiHidden/>
    <w:rsid w:val="00885316"/>
    <w:rPr>
      <w:lang w:eastAsia="en-US"/>
    </w:rPr>
  </w:style>
  <w:style w:type="character" w:styleId="FootnoteReference">
    <w:name w:val="footnote reference"/>
    <w:uiPriority w:val="99"/>
    <w:semiHidden/>
    <w:unhideWhenUsed/>
    <w:rsid w:val="00885316"/>
    <w:rPr>
      <w:vertAlign w:val="superscript"/>
    </w:rPr>
  </w:style>
  <w:style w:type="character" w:styleId="Hyperlink">
    <w:name w:val="Hyperlink"/>
    <w:uiPriority w:val="99"/>
    <w:semiHidden/>
    <w:unhideWhenUsed/>
    <w:rsid w:val="008853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toc=OJ%3AL%3A2021%3A435%3ATOC&amp;uri=uriserv%3AOJ.L_.2021.435.01.0001.01.S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E9510-54D4-4884-A07D-A60BA0E4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1710</Words>
  <Characters>9645</Characters>
  <Application>Microsoft Office Word</Application>
  <DocSecurity>0</DocSecurity>
  <Lines>209</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11223</CharactersWithSpaces>
  <SharedDoc>false</SharedDoc>
  <HLinks>
    <vt:vector size="6" baseType="variant">
      <vt:variant>
        <vt:i4>48</vt:i4>
      </vt:variant>
      <vt:variant>
        <vt:i4>0</vt:i4>
      </vt:variant>
      <vt:variant>
        <vt:i4>0</vt:i4>
      </vt:variant>
      <vt:variant>
        <vt:i4>5</vt:i4>
      </vt:variant>
      <vt:variant>
        <vt:lpwstr>https://eur-lex.europa.eu/legal-content/EN/TXT/?toc=OJ%3AL%3A2021%3A435%3ATOC&amp;uri=uriserv%3AOJ.L_.2021.435.01.0001.01.ENG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JAVORSKA Martina (DGT)</cp:lastModifiedBy>
  <cp:revision>5</cp:revision>
  <dcterms:created xsi:type="dcterms:W3CDTF">2023-02-09T08:16:00Z</dcterms:created>
  <dcterms:modified xsi:type="dcterms:W3CDTF">2023-06-16T08:31:00Z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2023-05-31T14:05:44Z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e2415607-6a79-4686-8843-f2dfbc30bc94</vt:lpwstr>
  </property>
  <property fmtid="{D5CDD505-2E9C-101B-9397-08002B2CF9AE}" pid="8" name="MSIP_Label_6bd9ddd1-4d20-43f6-abfa-fc3c07406f94_ContentBits">
    <vt:lpwstr>0</vt:lpwstr>
  </property>
</Properties>
</file>