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633C" w14:textId="052DEFAD" w:rsidR="00C12101" w:rsidRPr="00701E4D" w:rsidRDefault="00C12101" w:rsidP="00C12101">
      <w:pPr>
        <w:pStyle w:val="ManualHeading1"/>
        <w:rPr>
          <w:noProof/>
        </w:rPr>
      </w:pPr>
      <w:r w:rsidRPr="003D04A8">
        <w:rPr>
          <w:noProof/>
        </w:rPr>
        <w:t>ČASŤ III.6.K</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4.9 – Pomoc v oblasti energetickej infraštruktúry</w:t>
      </w:r>
    </w:p>
    <w:p w14:paraId="1087DD7A" w14:textId="77777777" w:rsidR="00C12101" w:rsidRPr="003D04A8" w:rsidRDefault="00C12101" w:rsidP="00C12101">
      <w:pPr>
        <w:ind w:right="-142"/>
        <w:rPr>
          <w:i/>
          <w:iCs/>
          <w:noProof/>
        </w:rPr>
      </w:pPr>
      <w:r w:rsidRPr="003D04A8">
        <w:rPr>
          <w:i/>
          <w:noProof/>
        </w:rPr>
        <w:t xml:space="preserve">Tento formulár doplňujúcich informácií sa týka opatrení, na ktoré sa vzťahuje oddiel 4.9 CEEAG. Ak notifikácia zahŕňa opatrenia, na ktoré sa vzťahuje viac ako jeden oddiel CEEAG, vyplňte aj príslušný formulár doplňujúcich informácií, ktorý sa týka príslušného oddielu CEEAG, keď bude daný formulár dostupný. </w:t>
      </w:r>
    </w:p>
    <w:p w14:paraId="47483B48" w14:textId="77777777" w:rsidR="00C12101" w:rsidRPr="003D04A8" w:rsidRDefault="00C12101" w:rsidP="00C12101">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39170835" w14:textId="77777777" w:rsidR="00C12101" w:rsidRPr="003D04A8" w:rsidRDefault="00C12101" w:rsidP="00C12101">
      <w:pPr>
        <w:pStyle w:val="ManualHeading2"/>
        <w:rPr>
          <w:noProof/>
        </w:rPr>
      </w:pPr>
      <w:r w:rsidRPr="003D04A8">
        <w:rPr>
          <w:noProof/>
        </w:rPr>
        <w:t>Oddiel A: Zhrnutie hlavných charakteristík notifikovaného opatrenia/notifikovaných opatrení</w:t>
      </w:r>
    </w:p>
    <w:p w14:paraId="43A2A4EE" w14:textId="77777777" w:rsidR="00C12101" w:rsidRPr="00701E4D" w:rsidRDefault="00C12101" w:rsidP="00C12101">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519E29D5" w14:textId="77777777" w:rsidR="00C12101" w:rsidRPr="00701E4D" w:rsidRDefault="00C12101" w:rsidP="00C12101">
      <w:pPr>
        <w:pStyle w:val="ManualNumPar2"/>
        <w:rPr>
          <w:noProof/>
        </w:rPr>
      </w:pPr>
      <w:bookmarkStart w:id="0" w:name="_Hlk163736419"/>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v oblasti znižovania a odstraňovania emisií skleníkových plynov, ktoré má opatrenie podporiť:</w:t>
      </w:r>
    </w:p>
    <w:p w14:paraId="3BB7B562" w14:textId="77777777" w:rsidR="00C12101" w:rsidRPr="00701E4D" w:rsidRDefault="00C12101" w:rsidP="00C12101">
      <w:pPr>
        <w:tabs>
          <w:tab w:val="left" w:leader="dot" w:pos="9072"/>
        </w:tabs>
        <w:ind w:left="360"/>
        <w:rPr>
          <w:noProof/>
        </w:rPr>
      </w:pPr>
      <w:bookmarkStart w:id="1" w:name="_Hlk163736945"/>
      <w:r w:rsidRPr="00701E4D">
        <w:rPr>
          <w:noProof/>
        </w:rPr>
        <w:tab/>
      </w:r>
      <w:bookmarkEnd w:id="1"/>
    </w:p>
    <w:p w14:paraId="11B644C0" w14:textId="77777777" w:rsidR="00C12101" w:rsidRPr="00701E4D" w:rsidRDefault="00C12101" w:rsidP="00C12101">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vnútorného trhu:</w:t>
      </w:r>
    </w:p>
    <w:p w14:paraId="18782C8E" w14:textId="77777777" w:rsidR="00C12101" w:rsidRPr="00701E4D" w:rsidRDefault="00C12101" w:rsidP="00C12101">
      <w:pPr>
        <w:tabs>
          <w:tab w:val="left" w:leader="dot" w:pos="9072"/>
        </w:tabs>
        <w:ind w:left="360"/>
        <w:rPr>
          <w:noProof/>
        </w:rPr>
      </w:pPr>
      <w:r w:rsidRPr="00701E4D">
        <w:rPr>
          <w:noProof/>
        </w:rPr>
        <w:tab/>
      </w:r>
    </w:p>
    <w:bookmarkEnd w:id="0"/>
    <w:p w14:paraId="5551FCE8" w14:textId="77777777" w:rsidR="00C12101" w:rsidRPr="00701E4D" w:rsidRDefault="00C12101" w:rsidP="00C12101">
      <w:pPr>
        <w:pStyle w:val="ManualNumPar1"/>
        <w:rPr>
          <w:noProof/>
        </w:rPr>
      </w:pPr>
      <w:r w:rsidRPr="00447796">
        <w:rPr>
          <w:noProof/>
        </w:rPr>
        <w:t>2.</w:t>
      </w:r>
      <w:r w:rsidRPr="00447796">
        <w:rPr>
          <w:noProof/>
        </w:rPr>
        <w:tab/>
      </w:r>
      <w:r w:rsidRPr="00701E4D">
        <w:rPr>
          <w:noProof/>
        </w:rPr>
        <w:t>Nadobudnutie účinnosti a trvanie:</w:t>
      </w:r>
    </w:p>
    <w:p w14:paraId="45602866" w14:textId="77777777" w:rsidR="00C12101" w:rsidRPr="00701E4D" w:rsidRDefault="00C12101" w:rsidP="00C12101">
      <w:pPr>
        <w:pStyle w:val="ManualNumPar2"/>
        <w:rPr>
          <w:noProof/>
        </w:rPr>
      </w:pPr>
      <w:r w:rsidRPr="00447796">
        <w:rPr>
          <w:noProof/>
        </w:rPr>
        <w:t>2.1.</w:t>
      </w:r>
      <w:r w:rsidRPr="00447796">
        <w:rPr>
          <w:noProof/>
        </w:rPr>
        <w:tab/>
      </w:r>
      <w:r w:rsidRPr="00701E4D">
        <w:rPr>
          <w:noProof/>
        </w:rPr>
        <w:t xml:space="preserve">Uveďte dátum, od ktorého sa plánuje nadobudnutie účinnosti opatrenia, ak ešte nebol uvedený v oddiele </w:t>
      </w:r>
      <w:r>
        <w:rPr>
          <w:noProof/>
        </w:rPr>
        <w:t>5.4</w:t>
      </w:r>
      <w:r w:rsidRPr="00701E4D">
        <w:rPr>
          <w:noProof/>
        </w:rPr>
        <w:t xml:space="preserve"> formulára všeobecných informácií (časť I):</w:t>
      </w:r>
    </w:p>
    <w:p w14:paraId="14FA9BE9" w14:textId="77777777" w:rsidR="00C12101" w:rsidRPr="00701E4D" w:rsidRDefault="00C12101" w:rsidP="00C12101">
      <w:pPr>
        <w:tabs>
          <w:tab w:val="left" w:leader="dot" w:pos="9072"/>
        </w:tabs>
        <w:ind w:left="567"/>
        <w:rPr>
          <w:noProof/>
        </w:rPr>
      </w:pPr>
      <w:r w:rsidRPr="00701E4D">
        <w:rPr>
          <w:noProof/>
        </w:rPr>
        <w:tab/>
      </w:r>
    </w:p>
    <w:p w14:paraId="6D3BFEBA" w14:textId="77777777" w:rsidR="00C12101" w:rsidRPr="00701E4D" w:rsidRDefault="00C12101" w:rsidP="00C12101">
      <w:pPr>
        <w:pStyle w:val="ManualNumPar2"/>
        <w:rPr>
          <w:noProof/>
          <w:szCs w:val="24"/>
        </w:rPr>
      </w:pPr>
      <w:r w:rsidRPr="00447796">
        <w:rPr>
          <w:noProof/>
        </w:rPr>
        <w:t>2.2.</w:t>
      </w:r>
      <w:r w:rsidRPr="00447796">
        <w:rPr>
          <w:noProof/>
        </w:rPr>
        <w:tab/>
      </w:r>
      <w:r w:rsidRPr="00701E4D">
        <w:rPr>
          <w:noProof/>
        </w:rPr>
        <w:t>Ak sa opatrenie týka schémy pomoci, uveďte jej trvanie</w:t>
      </w:r>
      <w:r w:rsidRPr="00701E4D">
        <w:rPr>
          <w:rStyle w:val="Odkaznapoznmkupodiarou"/>
          <w:noProof/>
        </w:rPr>
        <w:footnoteReference w:id="1"/>
      </w:r>
      <w:r w:rsidRPr="00701E4D">
        <w:rPr>
          <w:noProof/>
        </w:rPr>
        <w:t>:</w:t>
      </w:r>
    </w:p>
    <w:p w14:paraId="31A8118B" w14:textId="77777777" w:rsidR="00C12101" w:rsidRPr="00701E4D" w:rsidRDefault="00C12101" w:rsidP="00C12101">
      <w:pPr>
        <w:tabs>
          <w:tab w:val="left" w:leader="dot" w:pos="9072"/>
        </w:tabs>
        <w:ind w:left="567"/>
        <w:rPr>
          <w:noProof/>
        </w:rPr>
      </w:pPr>
      <w:r w:rsidRPr="00701E4D">
        <w:rPr>
          <w:noProof/>
        </w:rPr>
        <w:tab/>
      </w:r>
    </w:p>
    <w:p w14:paraId="17B5D199" w14:textId="77777777" w:rsidR="00C12101" w:rsidRPr="00701E4D" w:rsidRDefault="00C12101" w:rsidP="00C12101">
      <w:pPr>
        <w:pStyle w:val="ManualNumPar1"/>
        <w:rPr>
          <w:rFonts w:cs="Arial Unicode MS"/>
          <w:bCs/>
          <w:noProof/>
        </w:rPr>
      </w:pPr>
      <w:r w:rsidRPr="00447796">
        <w:rPr>
          <w:noProof/>
        </w:rPr>
        <w:t>3.</w:t>
      </w:r>
      <w:r w:rsidRPr="00447796">
        <w:rPr>
          <w:noProof/>
        </w:rPr>
        <w:tab/>
      </w:r>
      <w:r w:rsidRPr="00701E4D">
        <w:rPr>
          <w:noProof/>
        </w:rPr>
        <w:t>Príjemca/Príjemcovia</w:t>
      </w:r>
      <w:r w:rsidRPr="00701E4D">
        <w:rPr>
          <w:noProof/>
        </w:rPr>
        <w:tab/>
      </w:r>
    </w:p>
    <w:p w14:paraId="353694BA" w14:textId="77777777" w:rsidR="00C12101" w:rsidRPr="00701E4D" w:rsidRDefault="00C12101" w:rsidP="00C12101">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09F47B9D" w14:textId="77777777" w:rsidR="00C12101" w:rsidRPr="00701E4D" w:rsidRDefault="00C12101" w:rsidP="00C12101">
      <w:pPr>
        <w:tabs>
          <w:tab w:val="left" w:leader="dot" w:pos="9072"/>
        </w:tabs>
        <w:ind w:left="567"/>
        <w:rPr>
          <w:noProof/>
        </w:rPr>
      </w:pPr>
      <w:r w:rsidRPr="00701E4D">
        <w:rPr>
          <w:noProof/>
        </w:rPr>
        <w:tab/>
      </w:r>
    </w:p>
    <w:p w14:paraId="0336F9ED" w14:textId="77777777" w:rsidR="00C12101" w:rsidRPr="00701E4D" w:rsidRDefault="00C12101" w:rsidP="00C12101">
      <w:pPr>
        <w:pStyle w:val="ManualNumPar2"/>
        <w:rPr>
          <w:noProof/>
        </w:rPr>
      </w:pPr>
      <w:r w:rsidRPr="00447796">
        <w:rPr>
          <w:noProof/>
        </w:rPr>
        <w:t>3.2.</w:t>
      </w:r>
      <w:r w:rsidRPr="00447796">
        <w:rPr>
          <w:noProof/>
        </w:rPr>
        <w:tab/>
      </w:r>
      <w:r w:rsidRPr="00701E4D">
        <w:rPr>
          <w:noProof/>
        </w:rPr>
        <w:t>Uveďte umiestnenie (potenciálneho) príjemcu/(potenciálnych) príjemcov (t. j. či sa na opatrení môžu zúčastňovať len hospodárske subjekty nachádzajúce sa v príslušných členských štátoch alebo aj tie, ktoré sa nachádzajú v iných členských štátoch):</w:t>
      </w:r>
    </w:p>
    <w:p w14:paraId="6F1E9BF0" w14:textId="77777777" w:rsidR="00C12101" w:rsidRPr="00701E4D" w:rsidRDefault="00C12101" w:rsidP="00C12101">
      <w:pPr>
        <w:tabs>
          <w:tab w:val="left" w:leader="dot" w:pos="9072"/>
        </w:tabs>
        <w:ind w:left="567"/>
        <w:rPr>
          <w:noProof/>
        </w:rPr>
      </w:pPr>
      <w:r w:rsidRPr="00701E4D">
        <w:rPr>
          <w:noProof/>
        </w:rPr>
        <w:lastRenderedPageBreak/>
        <w:tab/>
      </w:r>
    </w:p>
    <w:p w14:paraId="045131CA" w14:textId="77777777" w:rsidR="00C12101" w:rsidRPr="00701E4D" w:rsidRDefault="00C12101" w:rsidP="00C12101">
      <w:pPr>
        <w:pStyle w:val="ManualNumPar2"/>
        <w:rPr>
          <w:noProof/>
        </w:rPr>
      </w:pPr>
      <w:r w:rsidRPr="00447796">
        <w:rPr>
          <w:noProof/>
        </w:rPr>
        <w:t>3.3.</w:t>
      </w:r>
      <w:r w:rsidRPr="00447796">
        <w:rPr>
          <w:noProof/>
        </w:rPr>
        <w:tab/>
      </w:r>
      <w:r w:rsidRPr="00701E4D">
        <w:rPr>
          <w:noProof/>
        </w:rPr>
        <w:t xml:space="preserve">Na posúdenie súladu s bodom 15 CEEAG uveďte, či sa individuálna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39EFD6A5" w14:textId="77777777" w:rsidR="00C12101" w:rsidRPr="00701E4D" w:rsidRDefault="00C12101" w:rsidP="00C12101">
      <w:pPr>
        <w:pStyle w:val="Text1"/>
        <w:rPr>
          <w:noProof/>
        </w:rPr>
      </w:pPr>
      <w:r w:rsidRPr="00701E4D">
        <w:rPr>
          <w:noProof/>
        </w:rPr>
        <w:t>V prípade kladnej odpovede uveďte informácie o výške pomoci, ktorá sa ešte má vrátiť, aby ju Komisia mohla zohľadniť pri posúdení opatrenia/opatrení pomoci:</w:t>
      </w:r>
    </w:p>
    <w:p w14:paraId="410A3DA0" w14:textId="77777777" w:rsidR="00C12101" w:rsidRPr="00701E4D" w:rsidRDefault="00C12101" w:rsidP="00C12101">
      <w:pPr>
        <w:tabs>
          <w:tab w:val="left" w:leader="dot" w:pos="9072"/>
        </w:tabs>
        <w:ind w:left="567"/>
        <w:rPr>
          <w:noProof/>
        </w:rPr>
      </w:pPr>
      <w:r w:rsidRPr="00701E4D">
        <w:rPr>
          <w:noProof/>
        </w:rPr>
        <w:tab/>
      </w:r>
    </w:p>
    <w:p w14:paraId="40EAFA1E" w14:textId="77777777" w:rsidR="00C12101" w:rsidRPr="00701E4D" w:rsidRDefault="00C12101" w:rsidP="00C12101">
      <w:pPr>
        <w:pStyle w:val="ManualNumPar2"/>
        <w:rPr>
          <w:noProof/>
        </w:rPr>
      </w:pPr>
      <w:r w:rsidRPr="00447796">
        <w:rPr>
          <w:noProof/>
        </w:rPr>
        <w:t>3.4.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118A2652" w14:textId="77777777" w:rsidR="00C12101" w:rsidRPr="00701E4D" w:rsidRDefault="00C12101" w:rsidP="00C12101">
      <w:pPr>
        <w:tabs>
          <w:tab w:val="left" w:leader="dot" w:pos="9072"/>
        </w:tabs>
        <w:ind w:left="567"/>
        <w:rPr>
          <w:noProof/>
        </w:rPr>
      </w:pPr>
      <w:r w:rsidRPr="00701E4D">
        <w:rPr>
          <w:noProof/>
        </w:rPr>
        <w:tab/>
      </w:r>
    </w:p>
    <w:p w14:paraId="7BECCDF5" w14:textId="77777777" w:rsidR="00C12101" w:rsidRPr="00701E4D" w:rsidRDefault="00C12101" w:rsidP="00C12101">
      <w:pPr>
        <w:pStyle w:val="Text1"/>
        <w:rPr>
          <w:noProof/>
        </w:rPr>
      </w:pPr>
      <w:r w:rsidRPr="00701E4D">
        <w:rPr>
          <w:noProof/>
        </w:rPr>
        <w:t>V bodoch 373 a 374 CEEAG sa stanovuje, že „</w:t>
      </w:r>
      <w:r w:rsidRPr="003D04A8">
        <w:rPr>
          <w:i/>
          <w:noProof/>
        </w:rPr>
        <w:t>pravidlá štátnej pomoci [sa] nevzťahujú na podporu energetickej infraštruktúry v rámci zákonného monopolu</w:t>
      </w:r>
      <w:r w:rsidRPr="00701E4D">
        <w:rPr>
          <w:noProof/>
        </w:rPr>
        <w:t>“.</w:t>
      </w:r>
      <w:r w:rsidRPr="003D04A8">
        <w:rPr>
          <w:i/>
          <w:noProof/>
        </w:rPr>
        <w:t xml:space="preserve"> </w:t>
      </w:r>
      <w:r w:rsidRPr="00701E4D">
        <w:rPr>
          <w:noProof/>
        </w:rPr>
        <w:t>Mohlo by to tak byť v prípade, keď je výstavba a prevádzka určitých infraštruktúr zo zákona výlučne vyhradená prevádzkovateľovi prenosovej sústavy alebo prevádzkovateľovi distribučnej sústavy</w:t>
      </w:r>
      <w:r w:rsidRPr="003D04A8">
        <w:rPr>
          <w:i/>
          <w:noProof/>
        </w:rPr>
        <w:t>.</w:t>
      </w:r>
      <w:r w:rsidRPr="00701E4D">
        <w:rPr>
          <w:noProof/>
        </w:rPr>
        <w:t xml:space="preserve"> Podobne sa v bode 375 CEEAG stanovuje, že „</w:t>
      </w:r>
      <w:r w:rsidRPr="003D04A8">
        <w:rPr>
          <w:i/>
          <w:noProof/>
        </w:rPr>
        <w:t>sa Komisia domnieva, že štátna pomoc sa neposkytuje na investície, ak energetickú infraštruktúru riadi prirodzený monopol</w:t>
      </w:r>
      <w:r w:rsidRPr="00701E4D">
        <w:rPr>
          <w:noProof/>
        </w:rPr>
        <w:t xml:space="preserve">“. </w:t>
      </w:r>
    </w:p>
    <w:p w14:paraId="46A63CB8" w14:textId="77777777" w:rsidR="00C12101" w:rsidRPr="00701E4D" w:rsidRDefault="00C12101" w:rsidP="00C12101">
      <w:pPr>
        <w:pStyle w:val="Text1"/>
        <w:rPr>
          <w:noProof/>
        </w:rPr>
      </w:pPr>
      <w:r w:rsidRPr="00701E4D">
        <w:rPr>
          <w:noProof/>
        </w:rPr>
        <w:t xml:space="preserve">Je projekt notifikovaný v rámci zákonného monopolu alebo sa realizuje v rámci „prirodzeného monopolu“? </w:t>
      </w:r>
    </w:p>
    <w:p w14:paraId="72743D7A" w14:textId="77777777" w:rsidR="00C12101" w:rsidRPr="00701E4D" w:rsidRDefault="00C12101" w:rsidP="00C12101">
      <w:pPr>
        <w:tabs>
          <w:tab w:val="left" w:leader="dot" w:pos="9072"/>
        </w:tabs>
        <w:ind w:left="567"/>
        <w:rPr>
          <w:noProof/>
        </w:rPr>
      </w:pPr>
      <w:r w:rsidRPr="00701E4D">
        <w:rPr>
          <w:noProof/>
        </w:rPr>
        <w:tab/>
      </w:r>
    </w:p>
    <w:p w14:paraId="70675AF7" w14:textId="77777777" w:rsidR="00C12101" w:rsidRPr="00701E4D" w:rsidRDefault="00C12101" w:rsidP="00C12101">
      <w:pPr>
        <w:pStyle w:val="ManualNumPar2"/>
        <w:rPr>
          <w:noProof/>
        </w:rPr>
      </w:pPr>
      <w:r w:rsidRPr="00447796">
        <w:rPr>
          <w:noProof/>
        </w:rPr>
        <w:t>3.5.</w:t>
      </w:r>
      <w:r w:rsidRPr="00447796">
        <w:rPr>
          <w:noProof/>
        </w:rPr>
        <w:tab/>
      </w:r>
      <w:r w:rsidRPr="00701E4D">
        <w:rPr>
          <w:noProof/>
        </w:rPr>
        <w:t>Ak ste na predchádzajúcu otázku odpovedali „áno“, vysvetlite, prečo notifikovaný projekt patrí do rámca zákonného a/alebo prirodzeného monopolu, a uveďte odkaz na každé kumulatívne kritérium stanovené v bode 374 CEEAG v prípade zákonných monopolov a/alebo v bode 375 CEEAG v prípade prirodzených monopolov:</w:t>
      </w:r>
    </w:p>
    <w:p w14:paraId="4819BA6E" w14:textId="77777777" w:rsidR="00C12101" w:rsidRPr="00701E4D" w:rsidRDefault="00C12101" w:rsidP="00C12101">
      <w:pPr>
        <w:tabs>
          <w:tab w:val="left" w:leader="dot" w:pos="9072"/>
        </w:tabs>
        <w:ind w:left="567"/>
        <w:rPr>
          <w:noProof/>
        </w:rPr>
      </w:pPr>
      <w:r w:rsidRPr="00701E4D">
        <w:rPr>
          <w:noProof/>
        </w:rPr>
        <w:tab/>
      </w:r>
    </w:p>
    <w:p w14:paraId="1E11DBD0" w14:textId="77777777" w:rsidR="00C12101" w:rsidRPr="00701E4D" w:rsidRDefault="00C12101" w:rsidP="00C12101">
      <w:pPr>
        <w:pStyle w:val="ManualNumPar1"/>
        <w:rPr>
          <w:noProof/>
        </w:rPr>
      </w:pPr>
      <w:bookmarkStart w:id="2" w:name="_Ref171091150"/>
      <w:r w:rsidRPr="00447796">
        <w:rPr>
          <w:noProof/>
        </w:rPr>
        <w:t>4.</w:t>
      </w:r>
      <w:r w:rsidRPr="00447796">
        <w:rPr>
          <w:noProof/>
        </w:rPr>
        <w:tab/>
      </w:r>
      <w:r w:rsidRPr="00701E4D">
        <w:rPr>
          <w:noProof/>
        </w:rPr>
        <w:t>Rozpočet a financovanie opatrenia/opatrení</w:t>
      </w:r>
      <w:bookmarkEnd w:id="2"/>
    </w:p>
    <w:p w14:paraId="2E2A89D7" w14:textId="77777777" w:rsidR="00C12101" w:rsidRPr="00701E4D" w:rsidRDefault="00C12101" w:rsidP="00C12101">
      <w:pPr>
        <w:pStyle w:val="ManualNumPar2"/>
        <w:rPr>
          <w:noProof/>
        </w:rPr>
      </w:pPr>
      <w:r w:rsidRPr="00447796">
        <w:rPr>
          <w:noProof/>
        </w:rPr>
        <w:t>4.1.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30F6B753" w14:textId="77777777" w:rsidR="00C12101" w:rsidRPr="00701E4D" w:rsidRDefault="00C12101" w:rsidP="00C12101">
      <w:pPr>
        <w:tabs>
          <w:tab w:val="left" w:leader="dot" w:pos="9072"/>
        </w:tabs>
        <w:ind w:left="567"/>
        <w:rPr>
          <w:noProof/>
        </w:rPr>
      </w:pPr>
      <w:r w:rsidRPr="00701E4D">
        <w:rPr>
          <w:noProof/>
        </w:rPr>
        <w:tab/>
      </w:r>
    </w:p>
    <w:p w14:paraId="03E3CA2A" w14:textId="77777777" w:rsidR="00C12101" w:rsidRPr="00701E4D" w:rsidRDefault="00C12101" w:rsidP="00C12101">
      <w:pPr>
        <w:pStyle w:val="ManualNumPar2"/>
        <w:rPr>
          <w:noProof/>
        </w:rPr>
      </w:pPr>
      <w:r w:rsidRPr="00447796">
        <w:rPr>
          <w:noProof/>
        </w:rPr>
        <w:t>4.2.</w:t>
      </w:r>
      <w:r w:rsidRPr="00447796">
        <w:rPr>
          <w:noProof/>
        </w:rPr>
        <w:tab/>
      </w:r>
      <w:r w:rsidRPr="00701E4D">
        <w:rPr>
          <w:noProof/>
        </w:rPr>
        <w:t>Ak sa opatrenie financuje prostredníctvom poplatku, objasnite, či:</w:t>
      </w:r>
    </w:p>
    <w:p w14:paraId="54CF6D05" w14:textId="77777777" w:rsidR="00C12101" w:rsidRPr="00701E4D" w:rsidRDefault="00C12101" w:rsidP="00C12101">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349648C3" w14:textId="77777777" w:rsidR="00C12101" w:rsidRPr="00701E4D" w:rsidRDefault="00C12101" w:rsidP="00C12101">
      <w:pPr>
        <w:tabs>
          <w:tab w:val="left" w:leader="dot" w:pos="9072"/>
        </w:tabs>
        <w:ind w:left="567"/>
        <w:rPr>
          <w:noProof/>
        </w:rPr>
      </w:pPr>
      <w:r w:rsidRPr="00701E4D">
        <w:rPr>
          <w:noProof/>
        </w:rPr>
        <w:tab/>
      </w:r>
    </w:p>
    <w:p w14:paraId="0472228E" w14:textId="77777777" w:rsidR="00C12101" w:rsidRPr="00701E4D" w:rsidRDefault="00C12101" w:rsidP="00C12101">
      <w:pPr>
        <w:pStyle w:val="Point1"/>
        <w:rPr>
          <w:rFonts w:cs="Arial Unicode MS"/>
          <w:bCs/>
          <w:noProof/>
        </w:rPr>
      </w:pPr>
      <w:r w:rsidRPr="00701E4D">
        <w:rPr>
          <w:noProof/>
        </w:rPr>
        <w:lastRenderedPageBreak/>
        <w:t>b)</w:t>
      </w:r>
      <w:r w:rsidRPr="00701E4D">
        <w:rPr>
          <w:noProof/>
        </w:rPr>
        <w:tab/>
        <w:t>sa poplatok ukladá rovnako na domáce aj dovážané výrobky:</w:t>
      </w:r>
    </w:p>
    <w:p w14:paraId="29A46087" w14:textId="77777777" w:rsidR="00C12101" w:rsidRPr="00701E4D" w:rsidRDefault="00C12101" w:rsidP="00C12101">
      <w:pPr>
        <w:tabs>
          <w:tab w:val="left" w:leader="dot" w:pos="9072"/>
        </w:tabs>
        <w:ind w:left="567"/>
        <w:rPr>
          <w:noProof/>
        </w:rPr>
      </w:pPr>
      <w:r w:rsidRPr="00701E4D">
        <w:rPr>
          <w:noProof/>
        </w:rPr>
        <w:tab/>
      </w:r>
    </w:p>
    <w:p w14:paraId="2217E4B3" w14:textId="77777777" w:rsidR="00C12101" w:rsidRPr="00701E4D" w:rsidRDefault="00C12101" w:rsidP="00C12101">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09AD6FB6" w14:textId="77777777" w:rsidR="00C12101" w:rsidRPr="00701E4D" w:rsidRDefault="00C12101" w:rsidP="00C12101">
      <w:pPr>
        <w:tabs>
          <w:tab w:val="left" w:leader="dot" w:pos="9072"/>
        </w:tabs>
        <w:ind w:left="567"/>
        <w:rPr>
          <w:noProof/>
        </w:rPr>
      </w:pPr>
      <w:r w:rsidRPr="00701E4D">
        <w:rPr>
          <w:noProof/>
        </w:rPr>
        <w:tab/>
      </w:r>
    </w:p>
    <w:p w14:paraId="5DA353EF" w14:textId="77777777" w:rsidR="00C12101" w:rsidRPr="00701E4D" w:rsidRDefault="00C12101" w:rsidP="00C12101">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5DD7E837" w14:textId="77777777" w:rsidR="00C12101" w:rsidRPr="00701E4D" w:rsidRDefault="00C12101" w:rsidP="00C12101">
      <w:pPr>
        <w:tabs>
          <w:tab w:val="left" w:leader="dot" w:pos="9072"/>
        </w:tabs>
        <w:ind w:left="567"/>
        <w:rPr>
          <w:noProof/>
        </w:rPr>
      </w:pPr>
      <w:r w:rsidRPr="00701E4D">
        <w:rPr>
          <w:noProof/>
        </w:rPr>
        <w:tab/>
      </w:r>
    </w:p>
    <w:p w14:paraId="3EF47181" w14:textId="77777777" w:rsidR="00C12101" w:rsidRPr="00701E4D" w:rsidRDefault="00C12101" w:rsidP="00C12101">
      <w:pPr>
        <w:pStyle w:val="Point1"/>
        <w:rPr>
          <w:rFonts w:cs="Arial Unicode MS"/>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42B32E71" w14:textId="77777777" w:rsidR="00C12101" w:rsidRPr="00701E4D" w:rsidRDefault="00C12101" w:rsidP="00C12101">
      <w:pPr>
        <w:tabs>
          <w:tab w:val="left" w:leader="dot" w:pos="9072"/>
        </w:tabs>
        <w:ind w:left="567"/>
        <w:rPr>
          <w:noProof/>
        </w:rPr>
      </w:pPr>
      <w:r w:rsidRPr="00701E4D">
        <w:rPr>
          <w:noProof/>
        </w:rPr>
        <w:tab/>
      </w:r>
    </w:p>
    <w:p w14:paraId="6F0970F3" w14:textId="77777777" w:rsidR="00C12101" w:rsidRPr="003D04A8" w:rsidRDefault="00C12101" w:rsidP="00C12101">
      <w:pPr>
        <w:pStyle w:val="ManualHeading2"/>
        <w:rPr>
          <w:noProof/>
        </w:rPr>
      </w:pPr>
      <w:r w:rsidRPr="003D04A8">
        <w:rPr>
          <w:noProof/>
        </w:rPr>
        <w:t>Oddiel B: Posúdenie zlučiteľnosti pomoci</w:t>
      </w:r>
    </w:p>
    <w:p w14:paraId="583F1A8E" w14:textId="77777777" w:rsidR="00C12101" w:rsidRPr="003D04A8" w:rsidRDefault="00C12101" w:rsidP="00C12101">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07EA923B" w14:textId="77777777" w:rsidR="00C12101" w:rsidRPr="003D04A8" w:rsidRDefault="00C12101" w:rsidP="00C12101">
      <w:pPr>
        <w:pStyle w:val="ManualHeading2"/>
        <w:rPr>
          <w:noProof/>
        </w:rPr>
      </w:pPr>
      <w:r w:rsidRPr="00447796">
        <w:rPr>
          <w:noProof/>
        </w:rPr>
        <w:t>1.1.</w:t>
      </w:r>
      <w:r w:rsidRPr="00447796">
        <w:rPr>
          <w:noProof/>
        </w:rPr>
        <w:tab/>
      </w:r>
      <w:r w:rsidRPr="003D04A8">
        <w:rPr>
          <w:noProof/>
        </w:rPr>
        <w:t>Prispievanie k rozvoju hospodárskej činnosti</w:t>
      </w:r>
    </w:p>
    <w:p w14:paraId="4CF89057" w14:textId="77777777" w:rsidR="00C12101" w:rsidRPr="003D04A8" w:rsidRDefault="00C12101" w:rsidP="00C12101">
      <w:pPr>
        <w:rPr>
          <w:i/>
          <w:noProof/>
        </w:rPr>
      </w:pPr>
      <w:r w:rsidRPr="003D04A8">
        <w:rPr>
          <w:i/>
          <w:noProof/>
        </w:rPr>
        <w:t xml:space="preserve">Pri vypĺňaní tohto oddielu postupujte podľa informácií v oddiele 3.1.1 (body 23 – 25) a v oddieloch 4.9.1 a 4.9.2 CEEAG. </w:t>
      </w:r>
    </w:p>
    <w:p w14:paraId="76C62834" w14:textId="77777777" w:rsidR="00C12101" w:rsidRPr="00701E4D" w:rsidRDefault="00C12101" w:rsidP="00C12101">
      <w:pPr>
        <w:pStyle w:val="ManualNumPar1"/>
        <w:rPr>
          <w:noProof/>
        </w:rPr>
      </w:pPr>
      <w:r w:rsidRPr="00447796">
        <w:rPr>
          <w:noProof/>
        </w:rPr>
        <w:t>5.</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2B01417D" w14:textId="77777777" w:rsidR="00C12101" w:rsidRPr="00701E4D" w:rsidRDefault="00C12101" w:rsidP="00C12101">
      <w:pPr>
        <w:pStyle w:val="Text1"/>
        <w:rPr>
          <w:noProof/>
        </w:rPr>
      </w:pPr>
      <w:r w:rsidRPr="00701E4D">
        <w:rPr>
          <w:noProof/>
        </w:rPr>
        <w:t>Na posúdenie súladu s bodom 23 CEEAG uveďte, aké hospodárske činnosti sa v dôsledku pomoci uľahčia a ako sa podporí rozvoj týchto činností:</w:t>
      </w:r>
    </w:p>
    <w:p w14:paraId="6A3A0FC8" w14:textId="77777777" w:rsidR="00C12101" w:rsidRPr="00701E4D" w:rsidRDefault="00C12101" w:rsidP="00C12101">
      <w:pPr>
        <w:tabs>
          <w:tab w:val="left" w:leader="dot" w:pos="9072"/>
        </w:tabs>
        <w:ind w:left="567"/>
        <w:rPr>
          <w:noProof/>
        </w:rPr>
      </w:pPr>
      <w:r w:rsidRPr="00701E4D">
        <w:rPr>
          <w:noProof/>
        </w:rPr>
        <w:tab/>
      </w:r>
    </w:p>
    <w:p w14:paraId="507C4E69" w14:textId="77777777" w:rsidR="00C12101" w:rsidRPr="00701E4D" w:rsidRDefault="00C12101" w:rsidP="00C12101">
      <w:pPr>
        <w:pStyle w:val="ManualNumPar1"/>
        <w:rPr>
          <w:noProof/>
        </w:rPr>
      </w:pPr>
      <w:r w:rsidRPr="00447796">
        <w:rPr>
          <w:noProof/>
        </w:rPr>
        <w:t>6.</w:t>
      </w:r>
      <w:r w:rsidRPr="00447796">
        <w:rPr>
          <w:noProof/>
        </w:rPr>
        <w:tab/>
      </w:r>
      <w:r w:rsidRPr="00701E4D">
        <w:rPr>
          <w:noProof/>
        </w:rPr>
        <w:t>Na posúdenie súladu s bodom 25 CEEAG „[opíšte],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p>
    <w:p w14:paraId="4BD8FB6B" w14:textId="77777777" w:rsidR="00C12101" w:rsidRPr="00701E4D" w:rsidRDefault="00C12101" w:rsidP="00C12101">
      <w:pPr>
        <w:tabs>
          <w:tab w:val="left" w:leader="dot" w:pos="9072"/>
        </w:tabs>
        <w:ind w:left="567"/>
        <w:rPr>
          <w:noProof/>
        </w:rPr>
      </w:pPr>
      <w:r w:rsidRPr="00701E4D">
        <w:rPr>
          <w:noProof/>
        </w:rPr>
        <w:tab/>
      </w:r>
    </w:p>
    <w:p w14:paraId="5E321993" w14:textId="77777777" w:rsidR="00C12101" w:rsidRPr="00701E4D" w:rsidRDefault="00C12101" w:rsidP="00C12101">
      <w:pPr>
        <w:pStyle w:val="ManualNumPar1"/>
        <w:rPr>
          <w:noProof/>
        </w:rPr>
      </w:pPr>
      <w:bookmarkStart w:id="3" w:name="_Hlk163739202"/>
      <w:r w:rsidRPr="00447796">
        <w:rPr>
          <w:noProof/>
        </w:rPr>
        <w:t>7.</w:t>
      </w:r>
      <w:r w:rsidRPr="00447796">
        <w:rPr>
          <w:noProof/>
        </w:rPr>
        <w:tab/>
      </w:r>
      <w:r w:rsidRPr="00701E4D">
        <w:rPr>
          <w:noProof/>
        </w:rPr>
        <w:t>Okrem toho zdôraznite, do akej miery sa pomoc týka politík opísaných v bodoch 371 a 372 CEEAG:</w:t>
      </w:r>
    </w:p>
    <w:bookmarkEnd w:id="3"/>
    <w:p w14:paraId="430C1736" w14:textId="77777777" w:rsidR="00C12101" w:rsidRPr="00701E4D" w:rsidRDefault="00C12101" w:rsidP="00C12101">
      <w:pPr>
        <w:tabs>
          <w:tab w:val="left" w:leader="dot" w:pos="9072"/>
        </w:tabs>
        <w:ind w:left="567"/>
        <w:rPr>
          <w:noProof/>
        </w:rPr>
      </w:pPr>
      <w:r w:rsidRPr="00701E4D">
        <w:rPr>
          <w:noProof/>
        </w:rPr>
        <w:tab/>
      </w:r>
    </w:p>
    <w:p w14:paraId="41E3414B" w14:textId="77777777" w:rsidR="00C12101" w:rsidRPr="00701E4D" w:rsidRDefault="00C12101" w:rsidP="00C12101">
      <w:pPr>
        <w:pStyle w:val="ManualNumPar1"/>
        <w:rPr>
          <w:noProof/>
        </w:rPr>
      </w:pPr>
      <w:r w:rsidRPr="00447796">
        <w:rPr>
          <w:noProof/>
        </w:rPr>
        <w:t>8.</w:t>
      </w:r>
      <w:r w:rsidRPr="00447796">
        <w:rPr>
          <w:noProof/>
        </w:rPr>
        <w:tab/>
      </w:r>
      <w:r w:rsidRPr="00701E4D">
        <w:rPr>
          <w:noProof/>
        </w:rPr>
        <w:t>Uveďte informácie o rozsahu pôsobnosti a podporených činnostiach opatrenia/opatrení pomoci, ako sa uvádza v bode 376 CEEAG. Pri tejto príležitosti takisto:</w:t>
      </w:r>
    </w:p>
    <w:p w14:paraId="464CA972" w14:textId="77777777" w:rsidR="00C12101" w:rsidRPr="00701E4D" w:rsidRDefault="00C12101" w:rsidP="00C12101">
      <w:pPr>
        <w:pStyle w:val="Point1"/>
        <w:rPr>
          <w:noProof/>
        </w:rPr>
      </w:pPr>
      <w:r w:rsidRPr="00701E4D">
        <w:rPr>
          <w:noProof/>
        </w:rPr>
        <w:lastRenderedPageBreak/>
        <w:t>a)</w:t>
      </w:r>
      <w:r w:rsidRPr="00701E4D">
        <w:rPr>
          <w:noProof/>
        </w:rPr>
        <w:tab/>
        <w:t xml:space="preserve">Zabezpečte, aby sa projekt týkal energetickej infraštruktúry, ako sa vymedzuje v bode 19 podbode 36 CEEAG. </w:t>
      </w:r>
    </w:p>
    <w:p w14:paraId="060D5408" w14:textId="77777777" w:rsidR="00C12101" w:rsidRPr="00701E4D" w:rsidRDefault="00C12101" w:rsidP="00C12101">
      <w:pPr>
        <w:pStyle w:val="Point1"/>
        <w:rPr>
          <w:noProof/>
        </w:rPr>
      </w:pPr>
      <w:r w:rsidRPr="00701E4D">
        <w:rPr>
          <w:noProof/>
        </w:rPr>
        <w:t>b)</w:t>
      </w:r>
      <w:r w:rsidRPr="00701E4D">
        <w:rPr>
          <w:noProof/>
        </w:rPr>
        <w:tab/>
        <w:t>Zabezpečte, aby projekt nezahŕňal špecializovanú infraštruktúru a/alebo inú energetickú infraštruktúru v kombinácii s činnosťami výroby a/alebo spotreby.</w:t>
      </w:r>
    </w:p>
    <w:p w14:paraId="485D73AC" w14:textId="77777777" w:rsidR="00C12101" w:rsidRPr="00701E4D" w:rsidRDefault="00C12101" w:rsidP="00C12101">
      <w:pPr>
        <w:pStyle w:val="Point1"/>
        <w:rPr>
          <w:noProof/>
        </w:rPr>
      </w:pPr>
      <w:r w:rsidRPr="00701E4D">
        <w:rPr>
          <w:noProof/>
        </w:rPr>
        <w:t>c)</w:t>
      </w:r>
      <w:r w:rsidRPr="00701E4D">
        <w:rPr>
          <w:noProof/>
        </w:rPr>
        <w:tab/>
        <w:t xml:space="preserve">Uveďte, aký druh nákladov sa bude z opatrenia podporovať: investičné alebo prevádzkové náklady. </w:t>
      </w:r>
    </w:p>
    <w:p w14:paraId="442B733D" w14:textId="77777777" w:rsidR="00C12101" w:rsidRPr="00701E4D" w:rsidRDefault="00C12101" w:rsidP="00C12101">
      <w:pPr>
        <w:pStyle w:val="Point1"/>
        <w:rPr>
          <w:noProof/>
        </w:rPr>
      </w:pPr>
      <w:r w:rsidRPr="00701E4D">
        <w:rPr>
          <w:noProof/>
        </w:rPr>
        <w:t>d)</w:t>
      </w:r>
      <w:r w:rsidRPr="00701E4D">
        <w:rPr>
          <w:noProof/>
        </w:rPr>
        <w:tab/>
        <w:t>Ak bude opatrenie pokrývať prevádzkové náklady, preukážte, že tieto náklady nemožno získať od užívateľov siete a že nesúvisia s utopenými nákladmi a že prevádzková pomoc vedie k zmene správania, ktorá umožňuje zaistenie bezpečnosti dodávok alebo plnenie cieľov ochrany životného prostredia:</w:t>
      </w:r>
    </w:p>
    <w:p w14:paraId="51F0B843" w14:textId="77777777" w:rsidR="00C12101" w:rsidRPr="00701E4D" w:rsidRDefault="00C12101" w:rsidP="00C12101">
      <w:pPr>
        <w:tabs>
          <w:tab w:val="left" w:leader="dot" w:pos="9072"/>
        </w:tabs>
        <w:ind w:left="567"/>
        <w:rPr>
          <w:noProof/>
        </w:rPr>
      </w:pPr>
      <w:r w:rsidRPr="00701E4D">
        <w:rPr>
          <w:noProof/>
        </w:rPr>
        <w:tab/>
      </w:r>
    </w:p>
    <w:p w14:paraId="1AD9B8A9" w14:textId="77777777" w:rsidR="00C12101" w:rsidRPr="003D04A8" w:rsidRDefault="00C12101" w:rsidP="00C12101">
      <w:pPr>
        <w:pStyle w:val="ManualHeading2"/>
        <w:rPr>
          <w:noProof/>
        </w:rPr>
      </w:pPr>
      <w:r w:rsidRPr="00447796">
        <w:rPr>
          <w:noProof/>
        </w:rPr>
        <w:t>1.2.</w:t>
      </w:r>
      <w:r w:rsidRPr="00447796">
        <w:rPr>
          <w:noProof/>
        </w:rPr>
        <w:tab/>
      </w:r>
      <w:r w:rsidRPr="003D04A8">
        <w:rPr>
          <w:noProof/>
        </w:rPr>
        <w:t>Stimulačný účinok</w:t>
      </w:r>
    </w:p>
    <w:p w14:paraId="2D8DE876" w14:textId="77777777" w:rsidR="00C12101" w:rsidRPr="003D04A8" w:rsidRDefault="00C12101" w:rsidP="00C12101">
      <w:pPr>
        <w:rPr>
          <w:i/>
          <w:noProof/>
        </w:rPr>
      </w:pPr>
      <w:r w:rsidRPr="003D04A8">
        <w:rPr>
          <w:i/>
          <w:noProof/>
        </w:rPr>
        <w:t xml:space="preserve">Pri vypĺňaní tohto oddielu postupujte podľa informácií v oddiele 3.1.2 (body 26 – 32) CEEAG. </w:t>
      </w:r>
    </w:p>
    <w:p w14:paraId="381BD221" w14:textId="77777777" w:rsidR="00C12101" w:rsidRPr="00701E4D" w:rsidRDefault="00C12101" w:rsidP="00C12101">
      <w:pPr>
        <w:pStyle w:val="ManualNumPar1"/>
        <w:rPr>
          <w:noProof/>
        </w:rPr>
      </w:pPr>
      <w:r w:rsidRPr="00447796">
        <w:rPr>
          <w:noProof/>
        </w:rPr>
        <w:t>9.</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3D04A8">
        <w:rPr>
          <w:i/>
          <w:noProof/>
        </w:rPr>
        <w:t xml:space="preserve"> </w:t>
      </w:r>
    </w:p>
    <w:p w14:paraId="1E591EF9" w14:textId="77777777" w:rsidR="00C12101" w:rsidRPr="00701E4D" w:rsidRDefault="00C12101" w:rsidP="00C12101">
      <w:pPr>
        <w:tabs>
          <w:tab w:val="left" w:leader="dot" w:pos="9072"/>
        </w:tabs>
        <w:ind w:left="567"/>
        <w:rPr>
          <w:noProof/>
        </w:rPr>
      </w:pPr>
      <w:bookmarkStart w:id="4" w:name="_Hlk163740440"/>
      <w:r w:rsidRPr="00701E4D">
        <w:rPr>
          <w:noProof/>
        </w:rPr>
        <w:tab/>
      </w:r>
      <w:bookmarkEnd w:id="4"/>
    </w:p>
    <w:p w14:paraId="5C05E7E9" w14:textId="77777777" w:rsidR="00C12101" w:rsidRPr="00701E4D" w:rsidRDefault="00C12101" w:rsidP="00C12101">
      <w:pPr>
        <w:pStyle w:val="ManualNumPar1"/>
        <w:rPr>
          <w:noProof/>
        </w:rPr>
      </w:pPr>
      <w:r w:rsidRPr="00447796">
        <w:rPr>
          <w:noProof/>
        </w:rPr>
        <w:t>10.</w:t>
      </w:r>
      <w:r w:rsidRPr="00447796">
        <w:rPr>
          <w:noProof/>
        </w:rPr>
        <w:tab/>
      </w:r>
      <w:r w:rsidRPr="00701E4D">
        <w:rPr>
          <w:noProof/>
        </w:rPr>
        <w:t xml:space="preserve">Na posúdenie súladu s bodom 27 CEEAG poskytnite informácie, ktoré potvrdia, že </w:t>
      </w:r>
      <w:r w:rsidRPr="00701E4D">
        <w:rPr>
          <w:noProof/>
          <w:shd w:val="clear" w:color="auto" w:fill="FFFFFF"/>
        </w:rPr>
        <w:t>pomoc neslúži na úhradu nákladov na činnosť, ktorú by príjemca pomoci vykonával v každom prípade, ani na kompenzáciu bežného podnikateľského rizika spojeného s hospodárskou činnosťou</w:t>
      </w:r>
      <w:r w:rsidRPr="00701E4D">
        <w:rPr>
          <w:rStyle w:val="Odkaznapoznmkupodiarou"/>
          <w:noProof/>
        </w:rPr>
        <w:footnoteReference w:id="3"/>
      </w:r>
      <w:r w:rsidRPr="00701E4D">
        <w:rPr>
          <w:iCs/>
          <w:noProof/>
        </w:rPr>
        <w:t>:</w:t>
      </w:r>
    </w:p>
    <w:p w14:paraId="699EAAFC" w14:textId="77777777" w:rsidR="00C12101" w:rsidRPr="00701E4D" w:rsidRDefault="00C12101" w:rsidP="00C12101">
      <w:pPr>
        <w:tabs>
          <w:tab w:val="left" w:leader="dot" w:pos="9072"/>
        </w:tabs>
        <w:ind w:left="567"/>
        <w:rPr>
          <w:noProof/>
        </w:rPr>
      </w:pPr>
      <w:r w:rsidRPr="00701E4D">
        <w:rPr>
          <w:noProof/>
        </w:rPr>
        <w:tab/>
      </w:r>
    </w:p>
    <w:p w14:paraId="0712817B" w14:textId="77777777" w:rsidR="00C12101" w:rsidRPr="00701E4D" w:rsidRDefault="00C12101" w:rsidP="00C12101">
      <w:pPr>
        <w:pStyle w:val="ManualNumPar1"/>
        <w:rPr>
          <w:noProof/>
        </w:rPr>
      </w:pPr>
      <w:r w:rsidRPr="00447796">
        <w:rPr>
          <w:noProof/>
        </w:rPr>
        <w:t>11.</w:t>
      </w:r>
      <w:r w:rsidRPr="00447796">
        <w:rPr>
          <w:noProof/>
        </w:rPr>
        <w:tab/>
      </w:r>
      <w:r w:rsidRPr="00701E4D">
        <w:rPr>
          <w:noProof/>
        </w:rPr>
        <w:t xml:space="preserve">V záujme preukázania existencie stimulačného účinku sa v bode 28 CEEAG vyžaduje identifikácia faktického scenára a pravdepodobného kontrafaktuálneho scenára v prípade neposkytnutia pomoci. V prípade pomoci v oblasti energetickej infraštruktúry, ako sa vysvetľuje v bode 52, sa kontrafaktuálny scenár považuje za situáciu, v ktorej sa projekt nevykoná: </w:t>
      </w:r>
    </w:p>
    <w:p w14:paraId="6BFE0FCB" w14:textId="77777777" w:rsidR="00C12101" w:rsidRPr="00701E4D" w:rsidRDefault="00C12101" w:rsidP="00C12101">
      <w:pPr>
        <w:pStyle w:val="Point1"/>
        <w:rPr>
          <w:noProof/>
        </w:rPr>
      </w:pPr>
      <w:r w:rsidRPr="00701E4D">
        <w:rPr>
          <w:noProof/>
        </w:rPr>
        <w:t>a)</w:t>
      </w:r>
      <w:r w:rsidRPr="00701E4D">
        <w:rPr>
          <w:noProof/>
        </w:rPr>
        <w:tab/>
        <w:t>Uveďte komplexný opis faktického scenára. V prípade schém, ktoré sa vzťahujú na rôzne referenčné projekty</w:t>
      </w:r>
      <w:r w:rsidRPr="00701E4D">
        <w:rPr>
          <w:rStyle w:val="Odkaznapoznmkupodiarou"/>
          <w:noProof/>
          <w:lang w:eastAsia="en-GB"/>
        </w:rPr>
        <w:footnoteReference w:id="4"/>
      </w:r>
      <w:r w:rsidRPr="00701E4D">
        <w:rPr>
          <w:noProof/>
        </w:rPr>
        <w:t>, uveďte opis faktického scenára za každý referenčný projekt:</w:t>
      </w:r>
    </w:p>
    <w:p w14:paraId="0CB0BCDC" w14:textId="77777777" w:rsidR="00C12101" w:rsidRPr="00701E4D" w:rsidRDefault="00C12101" w:rsidP="00C12101">
      <w:pPr>
        <w:tabs>
          <w:tab w:val="left" w:leader="dot" w:pos="9072"/>
        </w:tabs>
        <w:ind w:left="567"/>
        <w:rPr>
          <w:noProof/>
        </w:rPr>
      </w:pPr>
      <w:r w:rsidRPr="00701E4D">
        <w:rPr>
          <w:noProof/>
        </w:rPr>
        <w:tab/>
      </w:r>
    </w:p>
    <w:p w14:paraId="7349FCCA" w14:textId="77777777" w:rsidR="00C12101" w:rsidRPr="00701E4D" w:rsidRDefault="00C12101" w:rsidP="00C12101">
      <w:pPr>
        <w:pStyle w:val="Point1"/>
        <w:rPr>
          <w:noProof/>
        </w:rPr>
      </w:pPr>
      <w:r w:rsidRPr="00701E4D">
        <w:rPr>
          <w:noProof/>
        </w:rPr>
        <w:t>b)</w:t>
      </w:r>
      <w:r w:rsidRPr="00701E4D">
        <w:rPr>
          <w:noProof/>
        </w:rPr>
        <w:tab/>
        <w:t xml:space="preserve">Pokiaľ opatrenie nie je schémou pomoci, pripojte k tomuto notifikačnému formuláru všetky úradné dokumenty vedenia, posúdenia rizík, finančné správy, interné podnikateľské plány, stanoviská odborníkov a iné štúdie týkajúce sa posudzovaného projektu, dokumenty obsahujúce informácie o prognózach </w:t>
      </w:r>
      <w:r w:rsidRPr="00701E4D">
        <w:rPr>
          <w:noProof/>
        </w:rPr>
        <w:lastRenderedPageBreak/>
        <w:t>dopytu, odhadoch nákladov a finančných prognózach, dokumenty predložené investičnému výboru, v ktorých sa podrobne uvádzajú investičné/prevádzkové scenáre, alebo dokumenty poskytnuté finančným inštitúciám, ako sa uvádza v bode 28, v poznámke pod čiarou č. 39 CEEAG.</w:t>
      </w:r>
    </w:p>
    <w:p w14:paraId="7873CC69" w14:textId="77777777" w:rsidR="00C12101" w:rsidRPr="00701E4D" w:rsidRDefault="00C12101" w:rsidP="00C12101">
      <w:pPr>
        <w:pStyle w:val="Text1"/>
        <w:rPr>
          <w:noProof/>
        </w:rPr>
      </w:pPr>
      <w:r w:rsidRPr="00701E4D">
        <w:rPr>
          <w:noProof/>
        </w:rPr>
        <w:t>Upozorňujeme, že tieto dokumenty musia pochádzať z obdobia, keď prebiehal rozhodovací proces týkajúci sa rozhodnutia o investícii/prevádzke.</w:t>
      </w:r>
    </w:p>
    <w:p w14:paraId="0D75E23E" w14:textId="77777777" w:rsidR="00C12101" w:rsidRPr="00701E4D" w:rsidRDefault="00C12101" w:rsidP="00C12101">
      <w:pPr>
        <w:pStyle w:val="Text1"/>
        <w:rPr>
          <w:noProof/>
        </w:rPr>
      </w:pPr>
      <w:r w:rsidRPr="00701E4D">
        <w:rPr>
          <w:noProof/>
        </w:rPr>
        <w:t>Ak sú takéto dokumenty priložené k notifikačnému formuláru, nižšie uveďte ich zoznam a špecifikujte ich autora, dátum vypracovania a kontext, v ktorom boli použité:</w:t>
      </w:r>
    </w:p>
    <w:p w14:paraId="7E750F01" w14:textId="77777777" w:rsidR="00C12101" w:rsidRPr="00701E4D" w:rsidRDefault="00C12101" w:rsidP="00C12101">
      <w:pPr>
        <w:tabs>
          <w:tab w:val="left" w:leader="dot" w:pos="9072"/>
        </w:tabs>
        <w:ind w:left="567"/>
        <w:rPr>
          <w:noProof/>
        </w:rPr>
      </w:pPr>
      <w:r w:rsidRPr="00701E4D">
        <w:rPr>
          <w:noProof/>
        </w:rPr>
        <w:tab/>
      </w:r>
    </w:p>
    <w:p w14:paraId="6BCD9930" w14:textId="77777777" w:rsidR="00C12101" w:rsidRPr="00701E4D" w:rsidRDefault="00C12101" w:rsidP="00C12101">
      <w:pPr>
        <w:pStyle w:val="ManualNumPar1"/>
        <w:rPr>
          <w:noProof/>
        </w:rPr>
      </w:pPr>
      <w:r w:rsidRPr="00447796">
        <w:rPr>
          <w:noProof/>
        </w:rPr>
        <w:t>12.</w:t>
      </w:r>
      <w:r w:rsidRPr="00447796">
        <w:rPr>
          <w:noProof/>
        </w:rPr>
        <w:tab/>
      </w:r>
      <w:r w:rsidRPr="00701E4D">
        <w:rPr>
          <w:noProof/>
        </w:rPr>
        <w:t>Na preukázanie súladu s bodmi 29 a 31 CEEAG:</w:t>
      </w:r>
    </w:p>
    <w:p w14:paraId="497AC225" w14:textId="77777777" w:rsidR="00C12101" w:rsidRPr="00701E4D" w:rsidRDefault="00C12101" w:rsidP="00C12101">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0576DB17" w14:textId="77777777" w:rsidR="00C12101" w:rsidRPr="00701E4D" w:rsidRDefault="00C12101" w:rsidP="00C12101">
      <w:pPr>
        <w:tabs>
          <w:tab w:val="left" w:leader="dot" w:pos="9072"/>
        </w:tabs>
        <w:ind w:left="567"/>
        <w:rPr>
          <w:noProof/>
        </w:rPr>
      </w:pPr>
      <w:r w:rsidRPr="00701E4D">
        <w:rPr>
          <w:noProof/>
        </w:rPr>
        <w:tab/>
      </w:r>
    </w:p>
    <w:p w14:paraId="3BBFA612" w14:textId="77777777" w:rsidR="00C12101" w:rsidRPr="003D04A8" w:rsidRDefault="00C12101" w:rsidP="00C12101">
      <w:pPr>
        <w:pStyle w:val="Text1"/>
        <w:rPr>
          <w:i/>
          <w:iCs/>
          <w:noProof/>
        </w:rPr>
      </w:pPr>
      <w:r w:rsidRPr="003D04A8">
        <w:rPr>
          <w:i/>
          <w:noProof/>
        </w:rPr>
        <w:t>ALEBO</w:t>
      </w:r>
    </w:p>
    <w:p w14:paraId="4252DA87" w14:textId="77777777" w:rsidR="00C12101" w:rsidRPr="00701E4D" w:rsidRDefault="00C12101" w:rsidP="00C12101">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7F964CA6" w14:textId="77777777" w:rsidR="00C12101" w:rsidRPr="00701E4D" w:rsidRDefault="00C12101" w:rsidP="00C12101">
      <w:pPr>
        <w:tabs>
          <w:tab w:val="left" w:leader="dot" w:pos="9072"/>
        </w:tabs>
        <w:ind w:left="567"/>
        <w:rPr>
          <w:noProof/>
        </w:rPr>
      </w:pPr>
      <w:r w:rsidRPr="00701E4D">
        <w:rPr>
          <w:noProof/>
        </w:rPr>
        <w:tab/>
      </w:r>
    </w:p>
    <w:p w14:paraId="440773D1" w14:textId="77777777" w:rsidR="00C12101" w:rsidRPr="00701E4D" w:rsidRDefault="00C12101" w:rsidP="00C12101">
      <w:pPr>
        <w:pStyle w:val="ManualNumPar1"/>
        <w:rPr>
          <w:noProof/>
        </w:rPr>
      </w:pPr>
      <w:r w:rsidRPr="00447796">
        <w:rPr>
          <w:noProof/>
        </w:rPr>
        <w:t>13.</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6CF2E7F9" w14:textId="77777777" w:rsidR="00C12101" w:rsidRPr="00701E4D" w:rsidRDefault="00C12101" w:rsidP="00C12101">
      <w:pPr>
        <w:tabs>
          <w:tab w:val="left" w:leader="dot" w:pos="9072"/>
        </w:tabs>
        <w:ind w:left="567"/>
        <w:rPr>
          <w:noProof/>
        </w:rPr>
      </w:pPr>
      <w:r w:rsidRPr="00701E4D">
        <w:rPr>
          <w:noProof/>
        </w:rPr>
        <w:tab/>
      </w:r>
    </w:p>
    <w:p w14:paraId="3DBA2D80" w14:textId="77777777" w:rsidR="00C12101" w:rsidRPr="00701E4D" w:rsidRDefault="00C12101" w:rsidP="00C12101">
      <w:pPr>
        <w:pStyle w:val="ManualNumPar1"/>
        <w:rPr>
          <w:noProof/>
        </w:rPr>
      </w:pPr>
      <w:r w:rsidRPr="00447796">
        <w:rPr>
          <w:noProof/>
        </w:rPr>
        <w:t>14.</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5"/>
      </w:r>
      <w:r w:rsidRPr="00701E4D">
        <w:rPr>
          <w:noProof/>
        </w:rPr>
        <w:t xml:space="preserve"> uplatniteľné na notifikované opatrenie/opatrenia, povinné vnútroštátne normy, ktoré sú prísnejšie alebo ambicióznejšie ako zodpovedajúce normy Únie, alebo povinné vnútroštátne normy prijaté v prípade, že normy Únie neexistujú. V tejto súvislosti uveďte informácie na preukázanie stimulačného účinku:</w:t>
      </w:r>
    </w:p>
    <w:p w14:paraId="2A704CA9" w14:textId="77777777" w:rsidR="00C12101" w:rsidRPr="00701E4D" w:rsidRDefault="00C12101" w:rsidP="00C12101">
      <w:pPr>
        <w:tabs>
          <w:tab w:val="left" w:leader="dot" w:pos="9072"/>
        </w:tabs>
        <w:ind w:left="567"/>
        <w:rPr>
          <w:noProof/>
        </w:rPr>
      </w:pPr>
      <w:bookmarkStart w:id="5" w:name="_Hlk163740922"/>
      <w:r w:rsidRPr="00701E4D">
        <w:rPr>
          <w:noProof/>
        </w:rPr>
        <w:tab/>
      </w:r>
      <w:bookmarkEnd w:id="5"/>
    </w:p>
    <w:p w14:paraId="3139BBF9" w14:textId="77777777" w:rsidR="00C12101" w:rsidRPr="00701E4D" w:rsidRDefault="00C12101" w:rsidP="00C12101">
      <w:pPr>
        <w:pStyle w:val="ManualNumPar1"/>
        <w:rPr>
          <w:noProof/>
        </w:rPr>
      </w:pPr>
      <w:r w:rsidRPr="00447796">
        <w:rPr>
          <w:noProof/>
        </w:rPr>
        <w:t>15.</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0EED0B5D" w14:textId="77777777" w:rsidR="00C12101" w:rsidRPr="00701E4D" w:rsidRDefault="00C12101" w:rsidP="00C12101">
      <w:pPr>
        <w:tabs>
          <w:tab w:val="left" w:leader="dot" w:pos="9072"/>
        </w:tabs>
        <w:ind w:left="567"/>
        <w:rPr>
          <w:noProof/>
        </w:rPr>
      </w:pPr>
      <w:r w:rsidRPr="00701E4D">
        <w:rPr>
          <w:noProof/>
        </w:rPr>
        <w:tab/>
      </w:r>
    </w:p>
    <w:p w14:paraId="36D9A256" w14:textId="77777777" w:rsidR="00C12101" w:rsidRPr="003D04A8" w:rsidRDefault="00C12101" w:rsidP="00C12101">
      <w:pPr>
        <w:pStyle w:val="ManualHeading2"/>
        <w:rPr>
          <w:noProof/>
        </w:rPr>
      </w:pPr>
      <w:r w:rsidRPr="00447796">
        <w:rPr>
          <w:noProof/>
        </w:rPr>
        <w:lastRenderedPageBreak/>
        <w:t>1.3.</w:t>
      </w:r>
      <w:r w:rsidRPr="00447796">
        <w:rPr>
          <w:noProof/>
        </w:rPr>
        <w:tab/>
      </w:r>
      <w:r w:rsidRPr="003D04A8">
        <w:rPr>
          <w:noProof/>
        </w:rPr>
        <w:t>Neporušenie žiadneho relevantného ustanovenia právnych predpisov Únie</w:t>
      </w:r>
    </w:p>
    <w:p w14:paraId="563595E2" w14:textId="77777777" w:rsidR="00C12101" w:rsidRPr="003D04A8" w:rsidRDefault="00C12101" w:rsidP="00C12101">
      <w:pPr>
        <w:rPr>
          <w:i/>
          <w:noProof/>
        </w:rPr>
      </w:pPr>
      <w:r w:rsidRPr="003D04A8">
        <w:rPr>
          <w:i/>
          <w:noProof/>
        </w:rPr>
        <w:t xml:space="preserve">Pri vypĺňaní tohto oddielu postupujte podľa informácií v oddiele 3.1.3 (bod 33 CEEAG). </w:t>
      </w:r>
    </w:p>
    <w:p w14:paraId="60C3D45E" w14:textId="77777777" w:rsidR="00C12101" w:rsidRPr="00701E4D" w:rsidRDefault="00C12101" w:rsidP="00C12101">
      <w:pPr>
        <w:pStyle w:val="ManualNumPar1"/>
        <w:rPr>
          <w:noProof/>
        </w:rPr>
      </w:pPr>
      <w:r w:rsidRPr="00447796">
        <w:rPr>
          <w:noProof/>
        </w:rPr>
        <w:t>16.</w:t>
      </w:r>
      <w:r w:rsidRPr="00447796">
        <w:rPr>
          <w:noProof/>
        </w:rPr>
        <w:tab/>
      </w:r>
      <w:r w:rsidRPr="00701E4D">
        <w:rPr>
          <w:noProof/>
        </w:rPr>
        <w:t>Uveďte informácie, ktoré potvrdzujú súlad s príslušnými ustanoveniami právnych predpisov EÚ v súlade s bodom 33 CEEAG:</w:t>
      </w:r>
    </w:p>
    <w:p w14:paraId="53B70F1C" w14:textId="77777777" w:rsidR="00C12101" w:rsidRPr="00701E4D" w:rsidRDefault="00C12101" w:rsidP="00C12101">
      <w:pPr>
        <w:tabs>
          <w:tab w:val="left" w:leader="dot" w:pos="9072"/>
        </w:tabs>
        <w:ind w:left="567"/>
        <w:rPr>
          <w:noProof/>
          <w:color w:val="000000"/>
        </w:rPr>
      </w:pPr>
      <w:r w:rsidRPr="00701E4D">
        <w:rPr>
          <w:noProof/>
        </w:rPr>
        <w:tab/>
      </w:r>
    </w:p>
    <w:p w14:paraId="30CB93C4" w14:textId="77777777" w:rsidR="00C12101" w:rsidRPr="003D04A8" w:rsidRDefault="00C12101" w:rsidP="00C12101">
      <w:pPr>
        <w:pStyle w:val="ManualNumPar1"/>
        <w:rPr>
          <w:i/>
          <w:iCs/>
          <w:noProof/>
          <w:color w:val="000000"/>
        </w:rPr>
      </w:pPr>
      <w:r w:rsidRPr="00447796">
        <w:rPr>
          <w:noProof/>
        </w:rPr>
        <w:t>17.</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4.2, ak je notifikované opatrenie/sú notifikované opatrenia financované prostredníctvom poplatku:</w:t>
      </w:r>
    </w:p>
    <w:p w14:paraId="0CF0A3F1" w14:textId="77777777" w:rsidR="00C12101" w:rsidRPr="00701E4D" w:rsidRDefault="00C12101" w:rsidP="00C12101">
      <w:pPr>
        <w:tabs>
          <w:tab w:val="left" w:leader="dot" w:pos="9072"/>
        </w:tabs>
        <w:ind w:left="360"/>
        <w:rPr>
          <w:noProof/>
          <w:color w:val="000000"/>
        </w:rPr>
      </w:pPr>
      <w:r w:rsidRPr="00701E4D">
        <w:rPr>
          <w:noProof/>
        </w:rPr>
        <w:tab/>
      </w:r>
    </w:p>
    <w:p w14:paraId="06CE10F2" w14:textId="77777777" w:rsidR="00C12101" w:rsidRPr="003D04A8" w:rsidRDefault="00C12101" w:rsidP="00C12101">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2A6CD6D4" w14:textId="77777777" w:rsidR="00C12101" w:rsidRPr="003D04A8" w:rsidRDefault="00C12101" w:rsidP="00C12101">
      <w:pPr>
        <w:pStyle w:val="ManualHeading2"/>
        <w:rPr>
          <w:noProof/>
        </w:rPr>
      </w:pPr>
      <w:r w:rsidRPr="00447796">
        <w:rPr>
          <w:noProof/>
        </w:rPr>
        <w:t>2.1.</w:t>
      </w:r>
      <w:r w:rsidRPr="00447796">
        <w:rPr>
          <w:noProof/>
        </w:rPr>
        <w:tab/>
      </w:r>
      <w:r w:rsidRPr="003D04A8">
        <w:rPr>
          <w:noProof/>
        </w:rPr>
        <w:t>Minimalizácia narušení hospodárskej súťaže a obchodu</w:t>
      </w:r>
    </w:p>
    <w:p w14:paraId="2C7A3E5C" w14:textId="77777777" w:rsidR="00C12101" w:rsidRPr="003D04A8" w:rsidRDefault="00C12101" w:rsidP="00C12101">
      <w:pPr>
        <w:pStyle w:val="ManualHeading3"/>
        <w:rPr>
          <w:noProof/>
        </w:rPr>
      </w:pPr>
      <w:r w:rsidRPr="00447796">
        <w:rPr>
          <w:noProof/>
        </w:rPr>
        <w:t>2.1.1.</w:t>
      </w:r>
      <w:r w:rsidRPr="00447796">
        <w:rPr>
          <w:noProof/>
        </w:rPr>
        <w:tab/>
      </w:r>
      <w:r w:rsidRPr="003D04A8">
        <w:rPr>
          <w:noProof/>
        </w:rPr>
        <w:t>Nevyhnutnosť a vhodnosť zásahu vo forme štátnej pomoci</w:t>
      </w:r>
    </w:p>
    <w:p w14:paraId="68B723DD" w14:textId="77777777" w:rsidR="00C12101" w:rsidRPr="003D04A8" w:rsidRDefault="00C12101" w:rsidP="00C12101">
      <w:pPr>
        <w:rPr>
          <w:i/>
          <w:noProof/>
          <w:color w:val="000000"/>
        </w:rPr>
      </w:pPr>
      <w:r w:rsidRPr="003D04A8">
        <w:rPr>
          <w:i/>
          <w:noProof/>
        </w:rPr>
        <w:t>Pri vypĺňaní tohto oddielu postupujte podľa informácií v oddiele 4.9.3.1 (body 379 a 380) CEEAG.</w:t>
      </w:r>
      <w:r w:rsidRPr="003D04A8">
        <w:rPr>
          <w:i/>
          <w:noProof/>
          <w:color w:val="000000"/>
        </w:rPr>
        <w:t xml:space="preserve"> </w:t>
      </w:r>
    </w:p>
    <w:p w14:paraId="54E7CA52" w14:textId="77777777" w:rsidR="00C12101" w:rsidRPr="00701E4D" w:rsidRDefault="00C12101" w:rsidP="00C12101">
      <w:pPr>
        <w:pStyle w:val="ManualNumPar1"/>
        <w:rPr>
          <w:noProof/>
        </w:rPr>
      </w:pPr>
      <w:r w:rsidRPr="00447796">
        <w:rPr>
          <w:noProof/>
        </w:rPr>
        <w:t>18.</w:t>
      </w:r>
      <w:r w:rsidRPr="00447796">
        <w:rPr>
          <w:noProof/>
        </w:rPr>
        <w:tab/>
      </w:r>
      <w:r w:rsidRPr="00701E4D">
        <w:rPr>
          <w:noProof/>
        </w:rPr>
        <w:t>V bode 379 CEEAG sa stanovuje, že pokiaľ ide o energetickú infraštruktúru, zlyhania trhu sa zvyčajne riešia/financujú prostredníctvom povinných používateľských taríf podliehajúcich regulácii. Ako sa však uvádza v bode 380 CEEAG, nemusí to tak byť vždy. Vysvetlite, do akej miery sa opatrením riešia zlyhania trhu, ktoré nemožno riešiť povinnými používateľskými tarifami:</w:t>
      </w:r>
    </w:p>
    <w:p w14:paraId="5B49A15A" w14:textId="77777777" w:rsidR="00C12101" w:rsidRPr="00701E4D" w:rsidRDefault="00C12101" w:rsidP="00C12101">
      <w:pPr>
        <w:tabs>
          <w:tab w:val="left" w:leader="dot" w:pos="9072"/>
        </w:tabs>
        <w:ind w:left="567"/>
        <w:rPr>
          <w:noProof/>
        </w:rPr>
      </w:pPr>
      <w:r w:rsidRPr="00701E4D">
        <w:rPr>
          <w:noProof/>
        </w:rPr>
        <w:tab/>
      </w:r>
    </w:p>
    <w:p w14:paraId="32BFD350" w14:textId="77777777" w:rsidR="00C12101" w:rsidRPr="00701E4D" w:rsidRDefault="00C12101" w:rsidP="00C12101">
      <w:pPr>
        <w:pStyle w:val="ManualNumPar1"/>
        <w:rPr>
          <w:noProof/>
        </w:rPr>
      </w:pPr>
      <w:r w:rsidRPr="00447796">
        <w:rPr>
          <w:noProof/>
        </w:rPr>
        <w:t>19.</w:t>
      </w:r>
      <w:r w:rsidRPr="00447796">
        <w:rPr>
          <w:noProof/>
        </w:rPr>
        <w:tab/>
      </w:r>
      <w:r w:rsidRPr="00701E4D">
        <w:rPr>
          <w:noProof/>
        </w:rPr>
        <w:t>V záujme preukázania nevyhnutnosti a vhodnosti štátnej pomoci uveďte, v ktorej z rôznych situácií sa notifikovaný projekt musí posúdiť:</w:t>
      </w:r>
    </w:p>
    <w:p w14:paraId="041A60D5" w14:textId="77777777" w:rsidR="00C12101" w:rsidRPr="00701E4D" w:rsidRDefault="00C12101" w:rsidP="00C12101">
      <w:pPr>
        <w:pStyle w:val="Point1"/>
        <w:rPr>
          <w:noProof/>
        </w:rPr>
      </w:pPr>
      <w:r w:rsidRPr="00701E4D">
        <w:rPr>
          <w:noProof/>
        </w:rPr>
        <w:t>a)</w:t>
      </w:r>
      <w:r w:rsidRPr="00701E4D">
        <w:rPr>
          <w:noProof/>
        </w:rPr>
        <w:tab/>
        <w:t>notifikovaný projekt je projektom spoločného záujmu v zmysle vymedzenia v článku 2 bode 4 nariadenia (EÚ) č. 347/2013, na ktorý sa v plnej miere vzťahujú právne predpisy o vnútornom trhu s energiou. V takejto situácii sa Komisia domnieva, že existuje predpoklad zlyhania trhu. Nie je potrebné, aby členský štát ďalej zdôvodňoval potrebu a vhodnosť štátnej pomoci, alebo</w:t>
      </w:r>
    </w:p>
    <w:p w14:paraId="03018AC6" w14:textId="77777777" w:rsidR="00C12101" w:rsidRPr="00701E4D" w:rsidRDefault="00C12101" w:rsidP="00C12101">
      <w:pPr>
        <w:pStyle w:val="Point1"/>
        <w:rPr>
          <w:noProof/>
        </w:rPr>
      </w:pPr>
      <w:bookmarkStart w:id="6" w:name="_Ref168048596"/>
      <w:r w:rsidRPr="00701E4D">
        <w:rPr>
          <w:noProof/>
        </w:rPr>
        <w:t>b)</w:t>
      </w:r>
      <w:r w:rsidRPr="00701E4D">
        <w:rPr>
          <w:noProof/>
        </w:rPr>
        <w:tab/>
        <w:t>notifikovaný projekt nie je projektom spoločného záujmu, ako je vymedzený vyššie, alebo je projektom spoločného záujmu, ale je čiastočne alebo úplne vyňatý z právnych predpisov o vnútornom trhu s energiou, alebo</w:t>
      </w:r>
      <w:bookmarkEnd w:id="6"/>
    </w:p>
    <w:p w14:paraId="6D3574AA" w14:textId="77777777" w:rsidR="00C12101" w:rsidRPr="00701E4D" w:rsidRDefault="00C12101" w:rsidP="00C12101">
      <w:pPr>
        <w:pStyle w:val="Point1"/>
        <w:rPr>
          <w:noProof/>
        </w:rPr>
      </w:pPr>
      <w:r w:rsidRPr="00701E4D">
        <w:rPr>
          <w:noProof/>
        </w:rPr>
        <w:t>c)</w:t>
      </w:r>
      <w:r w:rsidRPr="00701E4D">
        <w:rPr>
          <w:noProof/>
        </w:rPr>
        <w:tab/>
        <w:t>projekt nie je projektom spoločného záujmu a ide o projekt medzi Úniou a treťou krajinou:</w:t>
      </w:r>
    </w:p>
    <w:p w14:paraId="36C99A71" w14:textId="77777777" w:rsidR="00C12101" w:rsidRPr="00701E4D" w:rsidRDefault="00C12101" w:rsidP="00C12101">
      <w:pPr>
        <w:tabs>
          <w:tab w:val="left" w:leader="dot" w:pos="9072"/>
        </w:tabs>
        <w:ind w:left="567"/>
        <w:rPr>
          <w:noProof/>
        </w:rPr>
      </w:pPr>
      <w:r w:rsidRPr="00701E4D">
        <w:rPr>
          <w:noProof/>
        </w:rPr>
        <w:tab/>
      </w:r>
    </w:p>
    <w:p w14:paraId="6F36B531" w14:textId="77777777" w:rsidR="00C12101" w:rsidRPr="00701E4D" w:rsidRDefault="00C12101" w:rsidP="00C12101">
      <w:pPr>
        <w:pStyle w:val="ManualNumPar1"/>
        <w:rPr>
          <w:noProof/>
        </w:rPr>
      </w:pPr>
      <w:r w:rsidRPr="00447796">
        <w:rPr>
          <w:noProof/>
        </w:rPr>
        <w:t>20.</w:t>
      </w:r>
      <w:r w:rsidRPr="00447796">
        <w:rPr>
          <w:noProof/>
        </w:rPr>
        <w:tab/>
      </w:r>
      <w:r w:rsidRPr="00701E4D">
        <w:rPr>
          <w:noProof/>
        </w:rPr>
        <w:t>Ak sa na notifikovaný projekt vzťahuje situácia uvedená v bode 19 písm. b) vyššie, s cieľom odôvodniť nevyhnutnosť a vhodnosť opatrenia vysvetlite:</w:t>
      </w:r>
    </w:p>
    <w:p w14:paraId="20D21855" w14:textId="77777777" w:rsidR="00C12101" w:rsidRPr="00701E4D" w:rsidRDefault="00C12101" w:rsidP="00C12101">
      <w:pPr>
        <w:pStyle w:val="Tiret1"/>
        <w:rPr>
          <w:noProof/>
        </w:rPr>
      </w:pPr>
      <w:r w:rsidRPr="00701E4D">
        <w:rPr>
          <w:noProof/>
        </w:rPr>
        <w:t xml:space="preserve">do akej miery vedie zlyhanie trhu k neoptimálnemu poskytovaniu nevyhnutnej infraštruktúry, </w:t>
      </w:r>
    </w:p>
    <w:p w14:paraId="36FC2E5A" w14:textId="77777777" w:rsidR="00C12101" w:rsidRPr="00701E4D" w:rsidRDefault="00C12101" w:rsidP="00C12101">
      <w:pPr>
        <w:pStyle w:val="Tiret1"/>
        <w:numPr>
          <w:ilvl w:val="0"/>
          <w:numId w:val="48"/>
        </w:numPr>
        <w:rPr>
          <w:noProof/>
        </w:rPr>
      </w:pPr>
      <w:r w:rsidRPr="00701E4D">
        <w:rPr>
          <w:noProof/>
        </w:rPr>
        <w:lastRenderedPageBreak/>
        <w:t>do akej miery je infraštruktúra otvorená prístupu tretích strán a do akej miery sa na ňu vzťahuje regulácia taríf,</w:t>
      </w:r>
    </w:p>
    <w:p w14:paraId="038AF263" w14:textId="77777777" w:rsidR="00C12101" w:rsidRPr="00701E4D" w:rsidRDefault="00C12101" w:rsidP="00C12101">
      <w:pPr>
        <w:pStyle w:val="Tiret1"/>
        <w:numPr>
          <w:ilvl w:val="0"/>
          <w:numId w:val="48"/>
        </w:numPr>
        <w:rPr>
          <w:noProof/>
        </w:rPr>
      </w:pPr>
      <w:r w:rsidRPr="00701E4D">
        <w:rPr>
          <w:noProof/>
        </w:rPr>
        <w:t>do akej miery projekt prispieva k bezpečnosti dodávok v Únii alebo k cieľom Únie týkajúcim sa klimatickej neutrality:</w:t>
      </w:r>
    </w:p>
    <w:p w14:paraId="04818294" w14:textId="77777777" w:rsidR="00C12101" w:rsidRPr="00701E4D" w:rsidRDefault="00C12101" w:rsidP="00C12101">
      <w:pPr>
        <w:tabs>
          <w:tab w:val="left" w:leader="dot" w:pos="9072"/>
        </w:tabs>
        <w:ind w:left="567"/>
        <w:rPr>
          <w:noProof/>
        </w:rPr>
      </w:pPr>
      <w:r w:rsidRPr="00701E4D">
        <w:rPr>
          <w:noProof/>
        </w:rPr>
        <w:tab/>
      </w:r>
    </w:p>
    <w:p w14:paraId="777B2D99" w14:textId="77777777" w:rsidR="00C12101" w:rsidRPr="00701E4D" w:rsidRDefault="00C12101" w:rsidP="00C12101">
      <w:pPr>
        <w:pStyle w:val="ManualNumPar1"/>
        <w:rPr>
          <w:noProof/>
        </w:rPr>
      </w:pPr>
      <w:r w:rsidRPr="00447796">
        <w:rPr>
          <w:noProof/>
        </w:rPr>
        <w:t>21.</w:t>
      </w:r>
      <w:r w:rsidRPr="00447796">
        <w:rPr>
          <w:noProof/>
        </w:rPr>
        <w:tab/>
      </w:r>
      <w:r w:rsidRPr="00701E4D">
        <w:rPr>
          <w:noProof/>
        </w:rPr>
        <w:t xml:space="preserve">Ak sa na projekt vzťahuje situácia uvedená v bode 19 písm. c), vysvetlite, či i) v prípade časti infraštruktúry, ktorá sa nachádza na území Únie, sa projekt buduje a prevádzkuje v súlade s právnymi predpismi Únie, najmä so smernicami 2009/73/ES a (EÚ) 2019/944, a ii) v prípade časti nachádzajúcej sa v dotknutej tretej krajine, resp. krajinách, či má projekt vysokú úroveň zosúladenia právnych predpisov a podporuje celkové ciele Únie, najmä v snahe zabezpečiť: </w:t>
      </w:r>
    </w:p>
    <w:p w14:paraId="4B912B83" w14:textId="77777777" w:rsidR="00C12101" w:rsidRPr="00701E4D" w:rsidRDefault="00C12101" w:rsidP="00C12101">
      <w:pPr>
        <w:pStyle w:val="Tiret1"/>
        <w:numPr>
          <w:ilvl w:val="0"/>
          <w:numId w:val="48"/>
        </w:numPr>
        <w:rPr>
          <w:noProof/>
        </w:rPr>
      </w:pPr>
      <w:r w:rsidRPr="00701E4D">
        <w:rPr>
          <w:noProof/>
        </w:rPr>
        <w:t>dobre fungujúci vnútorný trh s energiou,</w:t>
      </w:r>
    </w:p>
    <w:p w14:paraId="1B3F0DD8" w14:textId="77777777" w:rsidR="00C12101" w:rsidRPr="00701E4D" w:rsidRDefault="00C12101" w:rsidP="00C12101">
      <w:pPr>
        <w:pStyle w:val="Tiret1"/>
        <w:numPr>
          <w:ilvl w:val="0"/>
          <w:numId w:val="48"/>
        </w:numPr>
        <w:rPr>
          <w:noProof/>
        </w:rPr>
      </w:pPr>
      <w:r w:rsidRPr="00701E4D">
        <w:rPr>
          <w:noProof/>
        </w:rPr>
        <w:t xml:space="preserve">bezpečnosť dodávok energie na základe spolupráce a solidarity, </w:t>
      </w:r>
    </w:p>
    <w:p w14:paraId="5D02D55C" w14:textId="77777777" w:rsidR="00C12101" w:rsidRPr="00701E4D" w:rsidRDefault="00C12101" w:rsidP="00C12101">
      <w:pPr>
        <w:pStyle w:val="Tiret1"/>
        <w:numPr>
          <w:ilvl w:val="0"/>
          <w:numId w:val="48"/>
        </w:numPr>
        <w:rPr>
          <w:noProof/>
        </w:rPr>
      </w:pPr>
      <w:r w:rsidRPr="00701E4D">
        <w:rPr>
          <w:noProof/>
        </w:rPr>
        <w:t>energetický systém, ktorý je nasmerovaný k dekarbonizácii v súlade s Parížskou dohodou a cieľmi Únie v oblasti klímy, a najmä</w:t>
      </w:r>
    </w:p>
    <w:p w14:paraId="50C0059C" w14:textId="77777777" w:rsidR="00C12101" w:rsidRPr="00701E4D" w:rsidRDefault="00C12101" w:rsidP="00C12101">
      <w:pPr>
        <w:pStyle w:val="Tiret1"/>
        <w:numPr>
          <w:ilvl w:val="0"/>
          <w:numId w:val="48"/>
        </w:numPr>
        <w:rPr>
          <w:noProof/>
        </w:rPr>
      </w:pPr>
      <w:r w:rsidRPr="00701E4D">
        <w:rPr>
          <w:noProof/>
        </w:rPr>
        <w:t>zabránenie úniku uhlíka:</w:t>
      </w:r>
    </w:p>
    <w:p w14:paraId="71A40DAE" w14:textId="77777777" w:rsidR="00C12101" w:rsidRPr="00701E4D" w:rsidRDefault="00C12101" w:rsidP="00C12101">
      <w:pPr>
        <w:tabs>
          <w:tab w:val="left" w:leader="dot" w:pos="9072"/>
        </w:tabs>
        <w:ind w:left="567"/>
        <w:rPr>
          <w:noProof/>
        </w:rPr>
      </w:pPr>
      <w:r w:rsidRPr="00701E4D">
        <w:rPr>
          <w:noProof/>
        </w:rPr>
        <w:tab/>
      </w:r>
    </w:p>
    <w:p w14:paraId="3DADCE83" w14:textId="77777777" w:rsidR="00C12101" w:rsidRPr="003D04A8" w:rsidRDefault="00C12101" w:rsidP="00C12101">
      <w:pPr>
        <w:pStyle w:val="ManualHeading3"/>
        <w:rPr>
          <w:noProof/>
        </w:rPr>
      </w:pPr>
      <w:r w:rsidRPr="00447796">
        <w:rPr>
          <w:noProof/>
        </w:rPr>
        <w:t>2.1.2.</w:t>
      </w:r>
      <w:r w:rsidRPr="00447796">
        <w:rPr>
          <w:noProof/>
        </w:rPr>
        <w:tab/>
      </w:r>
      <w:r w:rsidRPr="003D04A8">
        <w:rPr>
          <w:noProof/>
        </w:rPr>
        <w:t>Primeranosť pomoci</w:t>
      </w:r>
    </w:p>
    <w:p w14:paraId="4FD84CA2" w14:textId="77777777" w:rsidR="00C12101" w:rsidRPr="00701E4D" w:rsidRDefault="00C12101" w:rsidP="00C12101">
      <w:pPr>
        <w:pStyle w:val="Odsekzoznamu"/>
        <w:ind w:left="567"/>
        <w:contextualSpacing w:val="0"/>
        <w:rPr>
          <w:noProof/>
        </w:rPr>
      </w:pPr>
      <w:r w:rsidRPr="003D04A8">
        <w:rPr>
          <w:i/>
          <w:noProof/>
        </w:rPr>
        <w:t>Pri vypĺňaní tohto oddielu postupujte podľa informácií v bodoch 51 – 52 a v bode 381 CEEAG.</w:t>
      </w:r>
    </w:p>
    <w:p w14:paraId="3800C2E9" w14:textId="77777777" w:rsidR="00C12101" w:rsidRPr="00701E4D" w:rsidRDefault="00C12101" w:rsidP="00C12101">
      <w:pPr>
        <w:pStyle w:val="ManualNumPar1"/>
        <w:rPr>
          <w:noProof/>
        </w:rPr>
      </w:pPr>
      <w:r w:rsidRPr="00447796">
        <w:rPr>
          <w:noProof/>
        </w:rPr>
        <w:t>22.</w:t>
      </w:r>
      <w:r w:rsidRPr="00447796">
        <w:rPr>
          <w:noProof/>
        </w:rPr>
        <w:tab/>
      </w:r>
      <w:r w:rsidRPr="00701E4D">
        <w:rPr>
          <w:noProof/>
        </w:rPr>
        <w:t xml:space="preserve">Podľa bodu 51 CEEAG typické čisté dodatočné náklady možno odhadnúť ako rozdiel medzi čistou súčasnou hodnotu v rámci faktického a kontrafaktuálneho scenára počas celého trvania projektu, prípadne na referenčný projekt. Ak kontrafaktuálny scenár spočíva v tom, že projekt sa nebude realizovať (pozri bod 52 CEEAG), záporná čistá súčasná hodnota faktického scenára sa rovná čistým dodatočným nákladom. </w:t>
      </w:r>
    </w:p>
    <w:p w14:paraId="1042393E" w14:textId="77777777" w:rsidR="00C12101" w:rsidRPr="00701E4D" w:rsidRDefault="00C12101" w:rsidP="00C12101">
      <w:pPr>
        <w:pStyle w:val="Text1"/>
        <w:rPr>
          <w:noProof/>
        </w:rPr>
      </w:pPr>
      <w:r w:rsidRPr="00701E4D">
        <w:rPr>
          <w:noProof/>
        </w:rPr>
        <w:t xml:space="preserve">V prílohe k tomuto notifikačnému formuláru (s použitím súboru Excel, </w:t>
      </w:r>
      <w:r w:rsidRPr="00701E4D">
        <w:rPr>
          <w:noProof/>
          <w:shd w:val="clear" w:color="auto" w:fill="FFFFFF"/>
        </w:rPr>
        <w:t>v ktorom sú viditeľné všetky vzorce</w:t>
      </w:r>
      <w:r w:rsidRPr="00701E4D">
        <w:rPr>
          <w:noProof/>
        </w:rPr>
        <w:t>) uveďte nasledovné:</w:t>
      </w:r>
    </w:p>
    <w:p w14:paraId="579AB5C5" w14:textId="77777777" w:rsidR="00C12101" w:rsidRPr="00701E4D" w:rsidRDefault="00C12101" w:rsidP="00C12101">
      <w:pPr>
        <w:pStyle w:val="Point1"/>
        <w:rPr>
          <w:noProof/>
        </w:rPr>
      </w:pPr>
      <w:r w:rsidRPr="00701E4D">
        <w:rPr>
          <w:noProof/>
          <w:shd w:val="clear" w:color="auto" w:fill="FFFFFF"/>
        </w:rPr>
        <w:t>a)</w:t>
      </w:r>
      <w:r w:rsidRPr="00701E4D">
        <w:rPr>
          <w:noProof/>
          <w:shd w:val="clear" w:color="auto" w:fill="FFFFFF"/>
        </w:rPr>
        <w:tab/>
        <w:t>S cieľom určiť likvidnú medzeru</w:t>
      </w:r>
      <w:r w:rsidRPr="00701E4D">
        <w:rPr>
          <w:rStyle w:val="Odkaznapoznmkupodiarou"/>
          <w:noProof/>
        </w:rPr>
        <w:footnoteReference w:id="6"/>
      </w:r>
      <w:r w:rsidRPr="00701E4D">
        <w:rPr>
          <w:noProof/>
          <w:shd w:val="clear" w:color="auto" w:fill="FFFFFF"/>
        </w:rPr>
        <w:t xml:space="preserve"> predložte v prípade faktického scenára kvantifikáciu:</w:t>
      </w:r>
    </w:p>
    <w:p w14:paraId="653C33E3" w14:textId="77777777" w:rsidR="00C12101" w:rsidRPr="00701E4D" w:rsidRDefault="00C12101" w:rsidP="00C12101">
      <w:pPr>
        <w:pStyle w:val="Stylei"/>
        <w:numPr>
          <w:ilvl w:val="0"/>
          <w:numId w:val="45"/>
        </w:numPr>
        <w:rPr>
          <w:noProof/>
        </w:rPr>
      </w:pPr>
      <w:r w:rsidRPr="00701E4D">
        <w:rPr>
          <w:noProof/>
          <w:shd w:val="clear" w:color="auto" w:fill="FFFFFF"/>
        </w:rPr>
        <w:t>všetkých hlavných nákladov a príjmov projektu;</w:t>
      </w:r>
    </w:p>
    <w:p w14:paraId="519F65D4" w14:textId="77777777" w:rsidR="00C12101" w:rsidRPr="00701E4D" w:rsidRDefault="00C12101" w:rsidP="00C12101">
      <w:pPr>
        <w:pStyle w:val="Stylei"/>
        <w:rPr>
          <w:noProof/>
        </w:rPr>
      </w:pPr>
      <w:r w:rsidRPr="00701E4D">
        <w:rPr>
          <w:noProof/>
          <w:shd w:val="clear" w:color="auto" w:fill="FFFFFF"/>
        </w:rPr>
        <w:t>odhadovaných vážených priemerných kapitálových nákladov príjemcov na diskontovanie hodnoty budúcich peňažných tokov;</w:t>
      </w:r>
    </w:p>
    <w:p w14:paraId="6B12521A" w14:textId="77777777" w:rsidR="00C12101" w:rsidRPr="00701E4D" w:rsidRDefault="00C12101" w:rsidP="00C12101">
      <w:pPr>
        <w:pStyle w:val="Stylei"/>
        <w:rPr>
          <w:noProof/>
        </w:rPr>
      </w:pPr>
      <w:r w:rsidRPr="00701E4D">
        <w:rPr>
          <w:noProof/>
          <w:shd w:val="clear" w:color="auto" w:fill="FFFFFF"/>
        </w:rPr>
        <w:t>čistú súčasnú hodnotu v rámci faktického scenára počas trvania projektu:</w:t>
      </w:r>
    </w:p>
    <w:p w14:paraId="38E4925A" w14:textId="77777777" w:rsidR="00C12101" w:rsidRPr="00701E4D" w:rsidRDefault="00C12101" w:rsidP="00C12101">
      <w:pPr>
        <w:tabs>
          <w:tab w:val="left" w:leader="dot" w:pos="9072"/>
        </w:tabs>
        <w:ind w:left="567"/>
        <w:rPr>
          <w:noProof/>
        </w:rPr>
      </w:pPr>
      <w:r w:rsidRPr="00701E4D">
        <w:rPr>
          <w:noProof/>
        </w:rPr>
        <w:tab/>
      </w:r>
    </w:p>
    <w:p w14:paraId="33CF578B" w14:textId="77777777" w:rsidR="00C12101" w:rsidRPr="00701E4D" w:rsidRDefault="00C12101" w:rsidP="00C12101">
      <w:pPr>
        <w:pStyle w:val="Point1"/>
        <w:rPr>
          <w:noProof/>
        </w:rPr>
      </w:pPr>
      <w:r w:rsidRPr="00701E4D">
        <w:rPr>
          <w:noProof/>
          <w:shd w:val="clear" w:color="auto" w:fill="FFFFFF"/>
        </w:rPr>
        <w:t>b)</w:t>
      </w:r>
      <w:r w:rsidRPr="00701E4D">
        <w:rPr>
          <w:noProof/>
          <w:shd w:val="clear" w:color="auto" w:fill="FFFFFF"/>
        </w:rPr>
        <w:tab/>
        <w:t xml:space="preserve">V prílohe k tomuto notifikačnému formuláru uveďte podrobné informácie o predpokladoch, metodikách, odôvodneniach a ich základných zdrojoch, ktoré </w:t>
      </w:r>
      <w:r w:rsidRPr="00701E4D">
        <w:rPr>
          <w:noProof/>
          <w:shd w:val="clear" w:color="auto" w:fill="FFFFFF"/>
        </w:rPr>
        <w:lastRenderedPageBreak/>
        <w:t xml:space="preserve">sa použili pre každý aspekt kvantifikácie nákladov a príjmov vo faktickom scenári (uveďte napríklad predpoklady použité na vypracovanie faktického scenára): </w:t>
      </w:r>
    </w:p>
    <w:p w14:paraId="345E48F6" w14:textId="77777777" w:rsidR="00C12101" w:rsidRPr="00701E4D" w:rsidRDefault="00C12101" w:rsidP="00C12101">
      <w:pPr>
        <w:tabs>
          <w:tab w:val="left" w:leader="dot" w:pos="9072"/>
        </w:tabs>
        <w:ind w:left="567"/>
        <w:rPr>
          <w:noProof/>
        </w:rPr>
      </w:pPr>
      <w:r w:rsidRPr="00701E4D">
        <w:rPr>
          <w:noProof/>
        </w:rPr>
        <w:tab/>
      </w:r>
    </w:p>
    <w:p w14:paraId="2021DA90" w14:textId="77777777" w:rsidR="00C12101" w:rsidRPr="00701E4D" w:rsidRDefault="00C12101" w:rsidP="00C12101">
      <w:pPr>
        <w:pStyle w:val="ManualNumPar1"/>
        <w:rPr>
          <w:noProof/>
        </w:rPr>
      </w:pPr>
      <w:r w:rsidRPr="00447796">
        <w:rPr>
          <w:noProof/>
        </w:rPr>
        <w:t>23.</w:t>
      </w:r>
      <w:r w:rsidRPr="00447796">
        <w:rPr>
          <w:noProof/>
        </w:rPr>
        <w:tab/>
      </w:r>
      <w:r w:rsidRPr="00701E4D">
        <w:rPr>
          <w:noProof/>
        </w:rPr>
        <w:t>Podľa bodu 53 CEEAG v prípadoch individuálnej pomoci a schém prospešných pre veľmi obmedzený počet príjemcov musí členský štát predložiť podporné dôkazy na úrovni podrobného podnikateľského plánu projektu.</w:t>
      </w:r>
    </w:p>
    <w:p w14:paraId="4DCA8DF2" w14:textId="77777777" w:rsidR="00C12101" w:rsidRPr="00701E4D" w:rsidRDefault="00C12101" w:rsidP="00C12101">
      <w:pPr>
        <w:pStyle w:val="Text1"/>
        <w:rPr>
          <w:noProof/>
        </w:rPr>
      </w:pPr>
      <w:r w:rsidRPr="00701E4D">
        <w:rPr>
          <w:noProof/>
        </w:rPr>
        <w:t>V prípadoch schém pomoci musí členský štát predložiť podporné dôkazy na základe jedného alebo viacerých referenčných projektov.</w:t>
      </w:r>
    </w:p>
    <w:p w14:paraId="6EB44943" w14:textId="77777777" w:rsidR="00C12101" w:rsidRPr="00701E4D" w:rsidRDefault="00C12101" w:rsidP="00C12101">
      <w:pPr>
        <w:pStyle w:val="ManualNumPar1"/>
        <w:rPr>
          <w:noProof/>
        </w:rPr>
      </w:pPr>
      <w:r w:rsidRPr="00447796">
        <w:rPr>
          <w:noProof/>
        </w:rPr>
        <w:t>24.</w:t>
      </w:r>
      <w:r w:rsidRPr="00447796">
        <w:rPr>
          <w:noProof/>
        </w:rPr>
        <w:tab/>
      </w:r>
      <w:r w:rsidRPr="00701E4D">
        <w:rPr>
          <w:noProof/>
        </w:rPr>
        <w:t>S cieľom umožniť Komisii overiť, či výška pomoci nepresahuje minimum potrebné na to, aby bol podporovaný projekt dostatočne ziskový</w:t>
      </w:r>
      <w:r w:rsidRPr="00701E4D">
        <w:rPr>
          <w:rStyle w:val="Odkaznapoznmkupodiarou"/>
          <w:noProof/>
          <w:lang w:eastAsia="en-GB"/>
        </w:rPr>
        <w:footnoteReference w:id="7"/>
      </w:r>
      <w:r w:rsidRPr="00701E4D">
        <w:rPr>
          <w:noProof/>
        </w:rPr>
        <w:t>, uveďte tieto informácie:</w:t>
      </w:r>
    </w:p>
    <w:p w14:paraId="156B9311" w14:textId="77777777" w:rsidR="00C12101" w:rsidRPr="00701E4D" w:rsidRDefault="00C12101" w:rsidP="00C12101">
      <w:pPr>
        <w:pStyle w:val="Point1"/>
        <w:rPr>
          <w:noProof/>
        </w:rPr>
      </w:pPr>
      <w:r w:rsidRPr="00701E4D">
        <w:rPr>
          <w:noProof/>
        </w:rPr>
        <w:t>a)</w:t>
      </w:r>
      <w:r w:rsidRPr="00701E4D">
        <w:rPr>
          <w:noProof/>
        </w:rPr>
        <w:tab/>
        <w:t>vnútornú mieru návratnosti (IRR), ktorá zodpovedá špecifickej referenčnej hodnote alebo minimálnej miere návratnosti pre dané odvetvie alebo podnik, alebo</w:t>
      </w:r>
    </w:p>
    <w:p w14:paraId="5AF5B33D" w14:textId="77777777" w:rsidR="00C12101" w:rsidRPr="00701E4D" w:rsidRDefault="00C12101" w:rsidP="00C12101">
      <w:pPr>
        <w:pStyle w:val="Point1"/>
        <w:rPr>
          <w:noProof/>
        </w:rPr>
      </w:pPr>
      <w:r w:rsidRPr="00701E4D">
        <w:rPr>
          <w:noProof/>
        </w:rPr>
        <w:t>b)</w:t>
      </w:r>
      <w:r w:rsidRPr="00701E4D">
        <w:rPr>
          <w:noProof/>
        </w:rPr>
        <w:tab/>
        <w:t>bežné miery návratnosti, ktoré príjemca vyžaduje v iných investičných projektoch podobného druhu, a jeho celkové kapitálové náklady alebo</w:t>
      </w:r>
    </w:p>
    <w:p w14:paraId="1EEA109E" w14:textId="77777777" w:rsidR="00C12101" w:rsidRPr="00701E4D" w:rsidRDefault="00C12101" w:rsidP="00C12101">
      <w:pPr>
        <w:pStyle w:val="Point1"/>
        <w:rPr>
          <w:noProof/>
        </w:rPr>
      </w:pPr>
      <w:r w:rsidRPr="00701E4D">
        <w:rPr>
          <w:noProof/>
        </w:rPr>
        <w:t>c)</w:t>
      </w:r>
      <w:r w:rsidRPr="00701E4D">
        <w:rPr>
          <w:noProof/>
        </w:rPr>
        <w:tab/>
        <w:t>miery návratnosti bežne zaznamenávané v príslušnom odvetví alebo</w:t>
      </w:r>
    </w:p>
    <w:p w14:paraId="148C2EA1" w14:textId="77777777" w:rsidR="00C12101" w:rsidRPr="00701E4D" w:rsidRDefault="00C12101" w:rsidP="00C12101">
      <w:pPr>
        <w:pStyle w:val="Point1"/>
        <w:rPr>
          <w:noProof/>
        </w:rPr>
      </w:pPr>
      <w:r w:rsidRPr="00701E4D">
        <w:rPr>
          <w:noProof/>
        </w:rPr>
        <w:t>d)</w:t>
      </w:r>
      <w:r w:rsidRPr="00701E4D">
        <w:rPr>
          <w:noProof/>
        </w:rPr>
        <w:tab/>
        <w:t>akékoľvek ďalšie informácie, ktoré odôvodňujú, že výška pomoci nepresahuje minimum potrebné na to, aby bol podporovaný projekt dostatočne ziskový:</w:t>
      </w:r>
    </w:p>
    <w:p w14:paraId="60E596ED" w14:textId="77777777" w:rsidR="00C12101" w:rsidRPr="00701E4D" w:rsidRDefault="00C12101" w:rsidP="00C12101">
      <w:pPr>
        <w:tabs>
          <w:tab w:val="left" w:leader="dot" w:pos="9072"/>
        </w:tabs>
        <w:ind w:left="567"/>
        <w:rPr>
          <w:noProof/>
        </w:rPr>
      </w:pPr>
      <w:r w:rsidRPr="00701E4D">
        <w:rPr>
          <w:noProof/>
        </w:rPr>
        <w:tab/>
      </w:r>
    </w:p>
    <w:p w14:paraId="62DBE407" w14:textId="77777777" w:rsidR="00C12101" w:rsidRPr="00701E4D" w:rsidRDefault="00C12101" w:rsidP="00C12101">
      <w:pPr>
        <w:pStyle w:val="ManualNumPar1"/>
        <w:rPr>
          <w:noProof/>
        </w:rPr>
      </w:pPr>
      <w:r w:rsidRPr="00447796">
        <w:rPr>
          <w:noProof/>
        </w:rPr>
        <w:t>25.</w:t>
      </w:r>
      <w:r w:rsidRPr="00447796">
        <w:rPr>
          <w:noProof/>
        </w:rPr>
        <w:tab/>
      </w:r>
      <w:r w:rsidRPr="00701E4D">
        <w:rPr>
          <w:noProof/>
        </w:rPr>
        <w:t>Podľa bodu 381 CEEAG, ak sa pomoc približuje maximálnej povolenej výške a ak existuje riziko neočakávaných ziskov, môže byť potrebný mechanizmus monitorovania a spätného vrátenia, pričom sa zachovajú stimuly pre príjemcov, aby minimalizovali svoje náklady a časom rozvíjali svoje podnikanie efektívnejšie. Vysvetlite, či existuje akýkoľvek mechanizmus monitorovania a spätného vrátenia. Ak nie, vysvetlite prečo:</w:t>
      </w:r>
    </w:p>
    <w:p w14:paraId="28C7C9E5" w14:textId="77777777" w:rsidR="00C12101" w:rsidRPr="00701E4D" w:rsidRDefault="00C12101" w:rsidP="00C12101">
      <w:pPr>
        <w:tabs>
          <w:tab w:val="left" w:leader="dot" w:pos="9072"/>
        </w:tabs>
        <w:ind w:left="567"/>
        <w:rPr>
          <w:noProof/>
        </w:rPr>
      </w:pPr>
      <w:r w:rsidRPr="00701E4D">
        <w:rPr>
          <w:noProof/>
        </w:rPr>
        <w:tab/>
      </w:r>
    </w:p>
    <w:p w14:paraId="13991882" w14:textId="77777777" w:rsidR="00C12101" w:rsidRPr="003D04A8" w:rsidRDefault="00C12101" w:rsidP="00C12101">
      <w:pPr>
        <w:pStyle w:val="ManualHeading3"/>
        <w:rPr>
          <w:noProof/>
        </w:rPr>
      </w:pPr>
      <w:r w:rsidRPr="00447796">
        <w:rPr>
          <w:noProof/>
        </w:rPr>
        <w:t>2.1.3.</w:t>
      </w:r>
      <w:r w:rsidRPr="00447796">
        <w:rPr>
          <w:noProof/>
        </w:rPr>
        <w:tab/>
      </w:r>
      <w:r w:rsidRPr="003D04A8">
        <w:rPr>
          <w:noProof/>
        </w:rPr>
        <w:t>Kumulácia</w:t>
      </w:r>
    </w:p>
    <w:p w14:paraId="734DDD2F" w14:textId="77777777" w:rsidR="00C12101" w:rsidRPr="003D04A8" w:rsidRDefault="00C12101" w:rsidP="00C12101">
      <w:pPr>
        <w:rPr>
          <w:i/>
          <w:iCs/>
          <w:noProof/>
        </w:rPr>
      </w:pPr>
      <w:r w:rsidRPr="003D04A8">
        <w:rPr>
          <w:i/>
          <w:noProof/>
        </w:rPr>
        <w:t>Pri vypĺňaní tohto oddielu postupujte podľa informácií v bodoch 56 – 57 CEEAG.</w:t>
      </w:r>
    </w:p>
    <w:p w14:paraId="0D2B497E" w14:textId="77777777" w:rsidR="00C12101" w:rsidRPr="00701E4D" w:rsidRDefault="00C12101" w:rsidP="00C12101">
      <w:pPr>
        <w:pStyle w:val="ManualNumPar1"/>
        <w:rPr>
          <w:noProof/>
        </w:rPr>
      </w:pPr>
      <w:r w:rsidRPr="00447796">
        <w:rPr>
          <w:noProof/>
        </w:rPr>
        <w:t>26.</w:t>
      </w:r>
      <w:r w:rsidRPr="00447796">
        <w:rPr>
          <w:noProof/>
        </w:rPr>
        <w:tab/>
      </w:r>
      <w:r w:rsidRPr="00701E4D">
        <w:rPr>
          <w:noProof/>
        </w:rPr>
        <w:t xml:space="preserve">Ak to ešte nie je uvedené v oddiele 7.4 formulára všeobecných informácií (časť I), ako aj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 Môžete budete chcieť odkázať na kvantifikáciu uvedenú vyššie:</w:t>
      </w:r>
    </w:p>
    <w:p w14:paraId="50AF0C29" w14:textId="77777777" w:rsidR="00C12101" w:rsidRPr="00701E4D" w:rsidRDefault="00C12101" w:rsidP="00C12101">
      <w:pPr>
        <w:tabs>
          <w:tab w:val="left" w:leader="dot" w:pos="9072"/>
        </w:tabs>
        <w:ind w:left="567"/>
        <w:rPr>
          <w:noProof/>
        </w:rPr>
      </w:pPr>
      <w:r w:rsidRPr="00701E4D">
        <w:rPr>
          <w:noProof/>
        </w:rPr>
        <w:tab/>
      </w:r>
    </w:p>
    <w:p w14:paraId="6672733C" w14:textId="77777777" w:rsidR="00C12101" w:rsidRPr="00701E4D" w:rsidRDefault="00C12101" w:rsidP="00C12101">
      <w:pPr>
        <w:pStyle w:val="ManualNumPar1"/>
        <w:rPr>
          <w:noProof/>
        </w:rPr>
      </w:pPr>
      <w:r w:rsidRPr="00447796">
        <w:rPr>
          <w:noProof/>
        </w:rPr>
        <w:t>27.</w:t>
      </w:r>
      <w:r w:rsidRPr="00447796">
        <w:rPr>
          <w:noProof/>
        </w:rPr>
        <w:tab/>
      </w:r>
      <w:r w:rsidRPr="00701E4D">
        <w:rPr>
          <w:noProof/>
        </w:rPr>
        <w:t xml:space="preserve">Ak sa pomoc poskytuje súbežne v rámci viacerých schém pomoci alebo kumulovane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w:t>
      </w:r>
      <w:r w:rsidRPr="00701E4D">
        <w:rPr>
          <w:noProof/>
        </w:rPr>
        <w:lastRenderedPageBreak/>
        <w:t>nákladmi, odôvodnite, prečo celková výška pomoci udelenej v rámci notifikovaného opatrenia/notifikovaných opatrení na projekt alebo činnosť nevedie k nadmernej kompenzácii alebo neprekračuje maximálnu výšku pomoci povolenú podľa bodov 51 a 381 CEEAG. V prípade každého opatrenia, pri ktorom možno pomoc poskytnutú v rámci notifikovaného opatrenia/notifikovaných opatrení pomoci kumulovať, uveďte metódu použitú na zabezpečenie súladu s podmienkami stanovenými v bode 56 CEEAG:</w:t>
      </w:r>
    </w:p>
    <w:p w14:paraId="4FBBA5AE" w14:textId="77777777" w:rsidR="00C12101" w:rsidRPr="00701E4D" w:rsidRDefault="00C12101" w:rsidP="00C12101">
      <w:pPr>
        <w:tabs>
          <w:tab w:val="left" w:leader="dot" w:pos="9072"/>
        </w:tabs>
        <w:ind w:left="567"/>
        <w:rPr>
          <w:noProof/>
        </w:rPr>
      </w:pPr>
      <w:r w:rsidRPr="00701E4D">
        <w:rPr>
          <w:noProof/>
        </w:rPr>
        <w:tab/>
      </w:r>
    </w:p>
    <w:p w14:paraId="6CCFD8BA" w14:textId="77777777" w:rsidR="00C12101" w:rsidRPr="00701E4D" w:rsidRDefault="00C12101" w:rsidP="00C12101">
      <w:pPr>
        <w:pStyle w:val="ManualNumPar1"/>
        <w:rPr>
          <w:noProof/>
        </w:rPr>
      </w:pPr>
      <w:r w:rsidRPr="00447796">
        <w:rPr>
          <w:noProof/>
        </w:rPr>
        <w:t>28.</w:t>
      </w:r>
      <w:r w:rsidRPr="00447796">
        <w:rPr>
          <w:noProof/>
        </w:rPr>
        <w:tab/>
      </w:r>
      <w:r w:rsidRPr="00701E4D">
        <w:rPr>
          <w:noProof/>
        </w:rPr>
        <w:t>Ak sa pomoc poskytovaná v rámci notifikovaného opatrenia/notifikovaných opatrení kombinuje s centrálne spravovaným financovaním z prostriedkov Únie podľa bodu 57 CEEAG</w:t>
      </w:r>
      <w:r w:rsidRPr="00701E4D">
        <w:rPr>
          <w:rStyle w:val="Odkaznapoznmkupodiarou"/>
          <w:noProof/>
          <w:lang w:eastAsia="en-GB"/>
        </w:rPr>
        <w:footnoteReference w:id="8"/>
      </w:r>
      <w:r w:rsidRPr="00701E4D">
        <w:rPr>
          <w:noProof/>
        </w:rPr>
        <w:t>, zdôvodnite, prečo celková výška verejného financovania poskytnutého v súvislosti s tými istými oprávnenými nákladmi nevedie k nadmernej kompenzácii:</w:t>
      </w:r>
    </w:p>
    <w:p w14:paraId="7CBA5393" w14:textId="77777777" w:rsidR="00C12101" w:rsidRPr="00701E4D" w:rsidRDefault="00C12101" w:rsidP="00C12101">
      <w:pPr>
        <w:tabs>
          <w:tab w:val="left" w:leader="dot" w:pos="9072"/>
        </w:tabs>
        <w:ind w:left="567"/>
        <w:rPr>
          <w:noProof/>
        </w:rPr>
      </w:pPr>
      <w:r w:rsidRPr="00701E4D">
        <w:rPr>
          <w:noProof/>
        </w:rPr>
        <w:tab/>
      </w:r>
    </w:p>
    <w:p w14:paraId="13251FEC" w14:textId="77777777" w:rsidR="00C12101" w:rsidRPr="003D04A8" w:rsidRDefault="00C12101" w:rsidP="00C12101">
      <w:pPr>
        <w:pStyle w:val="ManualHeading3"/>
        <w:rPr>
          <w:noProof/>
        </w:rPr>
      </w:pPr>
      <w:r w:rsidRPr="00447796">
        <w:rPr>
          <w:noProof/>
        </w:rPr>
        <w:t>2.1.4.</w:t>
      </w:r>
      <w:r w:rsidRPr="00447796">
        <w:rPr>
          <w:noProof/>
        </w:rPr>
        <w:tab/>
      </w:r>
      <w:r w:rsidRPr="003D04A8">
        <w:rPr>
          <w:noProof/>
        </w:rPr>
        <w:t>Transparentnosť</w:t>
      </w:r>
    </w:p>
    <w:p w14:paraId="12465B68" w14:textId="77777777" w:rsidR="00C12101" w:rsidRPr="003D04A8" w:rsidRDefault="00C12101" w:rsidP="00C12101">
      <w:pPr>
        <w:rPr>
          <w:i/>
          <w:noProof/>
        </w:rPr>
      </w:pPr>
      <w:r w:rsidRPr="003D04A8">
        <w:rPr>
          <w:i/>
          <w:noProof/>
        </w:rPr>
        <w:t xml:space="preserve">Pri vypĺňaní tohto oddielu postupujte podľa informácií v oddiele 3.2.1.4 (body 58 – 62) CEEAG. </w:t>
      </w:r>
    </w:p>
    <w:p w14:paraId="302D60E0" w14:textId="77777777" w:rsidR="00C12101" w:rsidRPr="00701E4D" w:rsidRDefault="00C12101" w:rsidP="00C12101">
      <w:pPr>
        <w:pStyle w:val="ManualNumPar1"/>
        <w:rPr>
          <w:rFonts w:eastAsia="Times New Roman"/>
          <w:noProof/>
          <w:szCs w:val="24"/>
        </w:rPr>
      </w:pPr>
      <w:r w:rsidRPr="00447796">
        <w:rPr>
          <w:noProof/>
        </w:rPr>
        <w:t>29.</w:t>
      </w:r>
      <w:r w:rsidRPr="00447796">
        <w:rPr>
          <w:noProof/>
        </w:rPr>
        <w:tab/>
      </w:r>
      <w:r w:rsidRPr="00701E4D">
        <w:rPr>
          <w:noProof/>
        </w:rPr>
        <w:t xml:space="preserve">Potvrďte, že členský štát splní požiadavky na transparentnosť stanovené v bodoch 58 – 61 CEEAG: </w:t>
      </w:r>
    </w:p>
    <w:p w14:paraId="57EA3EC6" w14:textId="77777777" w:rsidR="00C12101" w:rsidRPr="00701E4D" w:rsidRDefault="00C12101" w:rsidP="00C12101">
      <w:pPr>
        <w:tabs>
          <w:tab w:val="left" w:leader="dot" w:pos="9072"/>
        </w:tabs>
        <w:ind w:left="567"/>
        <w:rPr>
          <w:noProof/>
        </w:rPr>
      </w:pPr>
      <w:r w:rsidRPr="00701E4D">
        <w:rPr>
          <w:noProof/>
        </w:rPr>
        <w:tab/>
      </w:r>
    </w:p>
    <w:p w14:paraId="5077241F" w14:textId="77777777" w:rsidR="00C12101" w:rsidRPr="00701E4D" w:rsidRDefault="00C12101" w:rsidP="00C12101">
      <w:pPr>
        <w:pStyle w:val="ManualNumPar1"/>
        <w:rPr>
          <w:noProof/>
        </w:rPr>
      </w:pPr>
      <w:r w:rsidRPr="00447796">
        <w:rPr>
          <w:noProof/>
        </w:rPr>
        <w:t>30.</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05B18C36" w14:textId="77777777" w:rsidR="00C12101" w:rsidRPr="00701E4D" w:rsidRDefault="00C12101" w:rsidP="00C12101">
      <w:pPr>
        <w:tabs>
          <w:tab w:val="left" w:leader="dot" w:pos="9072"/>
        </w:tabs>
        <w:ind w:left="567"/>
        <w:rPr>
          <w:noProof/>
        </w:rPr>
      </w:pPr>
      <w:r w:rsidRPr="00701E4D">
        <w:rPr>
          <w:noProof/>
        </w:rPr>
        <w:tab/>
      </w:r>
    </w:p>
    <w:p w14:paraId="075CAA05" w14:textId="77777777" w:rsidR="00C12101" w:rsidRPr="003D04A8" w:rsidRDefault="00C12101" w:rsidP="00C12101">
      <w:pPr>
        <w:pStyle w:val="ManualHeading2"/>
        <w:rPr>
          <w:noProof/>
        </w:rPr>
      </w:pPr>
      <w:r w:rsidRPr="00447796">
        <w:rPr>
          <w:noProof/>
        </w:rPr>
        <w:t>2.2.</w:t>
      </w:r>
      <w:r w:rsidRPr="00447796">
        <w:rPr>
          <w:noProof/>
        </w:rPr>
        <w:tab/>
      </w:r>
      <w:r w:rsidRPr="003D04A8">
        <w:rPr>
          <w:noProof/>
        </w:rPr>
        <w:t>Zabránenie neprípustným negatívnym vplyvom pomoci na hospodársku súťaž a obchod a vyrovnávanie</w:t>
      </w:r>
    </w:p>
    <w:p w14:paraId="08F3305A" w14:textId="77777777" w:rsidR="00C12101" w:rsidRPr="00701E4D" w:rsidRDefault="00C12101" w:rsidP="00C12101">
      <w:pPr>
        <w:spacing w:before="360"/>
        <w:rPr>
          <w:noProof/>
        </w:rPr>
      </w:pPr>
      <w:bookmarkStart w:id="7" w:name="_Hlk168418348"/>
      <w:r w:rsidRPr="003D04A8">
        <w:rPr>
          <w:i/>
          <w:noProof/>
        </w:rPr>
        <w:t>Pri vypĺňaní tohto oddielu postupujte podľa informácií v oddiele 4.9.4 (body 382 a nasl. CEEAG).</w:t>
      </w:r>
    </w:p>
    <w:p w14:paraId="74929873" w14:textId="77777777" w:rsidR="00C12101" w:rsidRPr="00701E4D" w:rsidRDefault="00C12101" w:rsidP="00C12101">
      <w:pPr>
        <w:pStyle w:val="ManualNumPar1"/>
        <w:rPr>
          <w:noProof/>
        </w:rPr>
      </w:pPr>
      <w:r w:rsidRPr="00447796">
        <w:rPr>
          <w:noProof/>
        </w:rPr>
        <w:t>31.</w:t>
      </w:r>
      <w:r w:rsidRPr="00447796">
        <w:rPr>
          <w:noProof/>
        </w:rPr>
        <w:tab/>
      </w:r>
      <w:r w:rsidRPr="00701E4D">
        <w:rPr>
          <w:noProof/>
        </w:rPr>
        <w:t xml:space="preserve">Ak je notifikovaný projekt úplne alebo čiastočne vyňatý z právnych predpisov týkajúcich sa vnútorného trhu s energiou, vysvetlite: </w:t>
      </w:r>
    </w:p>
    <w:p w14:paraId="36EF76FA" w14:textId="77777777" w:rsidR="00C12101" w:rsidRPr="00701E4D" w:rsidRDefault="00C12101" w:rsidP="00C12101">
      <w:pPr>
        <w:pStyle w:val="Tiret1"/>
        <w:numPr>
          <w:ilvl w:val="0"/>
          <w:numId w:val="48"/>
        </w:numPr>
        <w:rPr>
          <w:noProof/>
        </w:rPr>
      </w:pPr>
      <w:r w:rsidRPr="00701E4D">
        <w:rPr>
          <w:noProof/>
        </w:rPr>
        <w:t xml:space="preserve">do akej miery je podporovaná infraštruktúra otvorená prístupu tretích strán, </w:t>
      </w:r>
    </w:p>
    <w:p w14:paraId="1BB430C3" w14:textId="77777777" w:rsidR="00C12101" w:rsidRPr="00701E4D" w:rsidRDefault="00C12101" w:rsidP="00C12101">
      <w:pPr>
        <w:pStyle w:val="Tiret1"/>
        <w:numPr>
          <w:ilvl w:val="0"/>
          <w:numId w:val="48"/>
        </w:numPr>
        <w:rPr>
          <w:noProof/>
        </w:rPr>
      </w:pPr>
      <w:r w:rsidRPr="00701E4D">
        <w:rPr>
          <w:noProof/>
        </w:rPr>
        <w:t xml:space="preserve">do akej miery môžu mať odberatelia prístup k alternatívnej infraštruktúre, ak existuje, </w:t>
      </w:r>
    </w:p>
    <w:p w14:paraId="6ABF5771" w14:textId="77777777" w:rsidR="00C12101" w:rsidRPr="00701E4D" w:rsidRDefault="00C12101" w:rsidP="00C12101">
      <w:pPr>
        <w:pStyle w:val="Tiret1"/>
        <w:numPr>
          <w:ilvl w:val="0"/>
          <w:numId w:val="48"/>
        </w:numPr>
        <w:rPr>
          <w:noProof/>
        </w:rPr>
      </w:pPr>
      <w:r w:rsidRPr="00701E4D">
        <w:rPr>
          <w:noProof/>
        </w:rPr>
        <w:t>do akej miery by projekt mohol viesť k vytláčaniu súkromných investícií,</w:t>
      </w:r>
    </w:p>
    <w:p w14:paraId="498A8981" w14:textId="77777777" w:rsidR="00C12101" w:rsidRPr="00701E4D" w:rsidRDefault="00C12101" w:rsidP="00C12101">
      <w:pPr>
        <w:pStyle w:val="Tiret1"/>
        <w:numPr>
          <w:ilvl w:val="0"/>
          <w:numId w:val="48"/>
        </w:numPr>
        <w:rPr>
          <w:noProof/>
        </w:rPr>
      </w:pPr>
      <w:r w:rsidRPr="00701E4D">
        <w:rPr>
          <w:noProof/>
        </w:rPr>
        <w:t>konkurenčné postavenie príjemcu/príjemcov, pokiaľ ide o prevádzku infraštruktúry, ako aj o relevantné produktové trhy pre tovar prepravovaný infraštruktúrou:</w:t>
      </w:r>
    </w:p>
    <w:p w14:paraId="62C9F294" w14:textId="77777777" w:rsidR="00C12101" w:rsidRPr="00701E4D" w:rsidRDefault="00C12101" w:rsidP="00C12101">
      <w:pPr>
        <w:tabs>
          <w:tab w:val="left" w:leader="dot" w:pos="9072"/>
        </w:tabs>
        <w:ind w:left="567"/>
        <w:rPr>
          <w:noProof/>
        </w:rPr>
      </w:pPr>
      <w:r w:rsidRPr="00701E4D">
        <w:rPr>
          <w:noProof/>
        </w:rPr>
        <w:lastRenderedPageBreak/>
        <w:tab/>
      </w:r>
    </w:p>
    <w:p w14:paraId="786BF400" w14:textId="77777777" w:rsidR="00C12101" w:rsidRPr="00701E4D" w:rsidRDefault="00C12101" w:rsidP="00C12101">
      <w:pPr>
        <w:pStyle w:val="ManualNumPar1"/>
        <w:rPr>
          <w:noProof/>
        </w:rPr>
      </w:pPr>
      <w:r w:rsidRPr="00447796">
        <w:rPr>
          <w:noProof/>
        </w:rPr>
        <w:t>32.</w:t>
      </w:r>
      <w:r w:rsidRPr="00447796">
        <w:rPr>
          <w:noProof/>
        </w:rPr>
        <w:tab/>
      </w:r>
      <w:r w:rsidRPr="00701E4D">
        <w:rPr>
          <w:noProof/>
        </w:rPr>
        <w:t>Ak je notifikovaným projektom infraštruktúra zemného plynu, uveďte informácie o tom, ako notifikovaný projekt spĺňa tieto podmienky:</w:t>
      </w:r>
    </w:p>
    <w:p w14:paraId="607C94D7" w14:textId="77777777" w:rsidR="00C12101" w:rsidRPr="00701E4D" w:rsidRDefault="00C12101" w:rsidP="00C12101">
      <w:pPr>
        <w:pStyle w:val="Tiret1"/>
        <w:numPr>
          <w:ilvl w:val="0"/>
          <w:numId w:val="48"/>
        </w:numPr>
        <w:rPr>
          <w:noProof/>
        </w:rPr>
      </w:pPr>
      <w:r w:rsidRPr="00701E4D">
        <w:rPr>
          <w:noProof/>
        </w:rPr>
        <w:t xml:space="preserve">infraštruktúra je pripravená na využívanie vodíka a vedie k zvýšeniu využívania plynov z obnoviteľných zdrojov; alebo prípadne dôvod, prečo nie je možné navrhnúť projekt tak, aby bol pripravený na využívanie vodíka, a ako projekt zamedzuje vzniku odkázanosti na využívanie zemného plynu, </w:t>
      </w:r>
    </w:p>
    <w:p w14:paraId="2666EB3A" w14:textId="77777777" w:rsidR="00C12101" w:rsidRPr="00701E4D" w:rsidRDefault="00C12101" w:rsidP="00C12101">
      <w:pPr>
        <w:pStyle w:val="Tiret1"/>
        <w:numPr>
          <w:ilvl w:val="0"/>
          <w:numId w:val="48"/>
        </w:numPr>
        <w:rPr>
          <w:noProof/>
        </w:rPr>
      </w:pPr>
      <w:r w:rsidRPr="00701E4D">
        <w:rPr>
          <w:noProof/>
        </w:rPr>
        <w:t>investícia prispieva k dosiahnutiu cieľa Únie v oblasti klímy do roku 2030 a cieľa Únie v oblasti klimatickej neutrality do roku 2050:</w:t>
      </w:r>
    </w:p>
    <w:p w14:paraId="555AD1DB" w14:textId="77777777" w:rsidR="00C12101" w:rsidRPr="00701E4D" w:rsidRDefault="00C12101" w:rsidP="00C12101">
      <w:pPr>
        <w:tabs>
          <w:tab w:val="left" w:leader="dot" w:pos="9072"/>
        </w:tabs>
        <w:ind w:left="567"/>
        <w:rPr>
          <w:noProof/>
        </w:rPr>
      </w:pPr>
      <w:r w:rsidRPr="00701E4D">
        <w:rPr>
          <w:noProof/>
        </w:rPr>
        <w:tab/>
      </w:r>
    </w:p>
    <w:p w14:paraId="1831AAD5" w14:textId="77777777" w:rsidR="00C12101" w:rsidRPr="00701E4D" w:rsidRDefault="00C12101" w:rsidP="00C12101">
      <w:pPr>
        <w:pStyle w:val="ManualNumPar1"/>
        <w:rPr>
          <w:noProof/>
        </w:rPr>
      </w:pPr>
      <w:r w:rsidRPr="00447796">
        <w:rPr>
          <w:noProof/>
        </w:rPr>
        <w:t>33.</w:t>
      </w:r>
      <w:r w:rsidRPr="00447796">
        <w:rPr>
          <w:noProof/>
        </w:rPr>
        <w:tab/>
      </w:r>
      <w:r w:rsidRPr="00701E4D">
        <w:rPr>
          <w:noProof/>
        </w:rPr>
        <w:t>Ak je notifikovaný projekt projektom spoločného záujmu alebo projektom vo vzájomnom záujme, na ktorý sa nevzťahujú právne predpisy o vnútornom trhu, vysvetlite, aký vplyv bude mať projekt na trhy so súvisiacimi službami, ako aj na ostatné trhy so službami:</w:t>
      </w:r>
    </w:p>
    <w:p w14:paraId="447372EA" w14:textId="77777777" w:rsidR="00C12101" w:rsidRPr="00701E4D" w:rsidRDefault="00C12101" w:rsidP="00C12101">
      <w:pPr>
        <w:tabs>
          <w:tab w:val="left" w:leader="dot" w:pos="9072"/>
        </w:tabs>
        <w:ind w:left="567"/>
        <w:rPr>
          <w:noProof/>
        </w:rPr>
      </w:pPr>
      <w:r w:rsidRPr="00701E4D">
        <w:rPr>
          <w:noProof/>
        </w:rPr>
        <w:tab/>
      </w:r>
    </w:p>
    <w:p w14:paraId="1C0C4411" w14:textId="77777777" w:rsidR="00C12101" w:rsidRPr="003D04A8" w:rsidRDefault="00C12101" w:rsidP="00C12101">
      <w:pPr>
        <w:pStyle w:val="ManualHeading1"/>
        <w:rPr>
          <w:noProof/>
        </w:rPr>
      </w:pPr>
      <w:r w:rsidRPr="003D04A8">
        <w:rPr>
          <w:noProof/>
        </w:rPr>
        <w:t>Oddiel C:</w:t>
      </w:r>
      <w:r w:rsidRPr="003D04A8">
        <w:rPr>
          <w:smallCaps w:val="0"/>
          <w:noProof/>
        </w:rPr>
        <w:t xml:space="preserve"> Hodnotenie</w:t>
      </w:r>
    </w:p>
    <w:bookmarkEnd w:id="7"/>
    <w:p w14:paraId="1D9BF77A" w14:textId="77777777" w:rsidR="00C12101" w:rsidRPr="003D04A8" w:rsidRDefault="00C12101" w:rsidP="00C12101">
      <w:pPr>
        <w:rPr>
          <w:i/>
          <w:iCs/>
          <w:noProof/>
        </w:rPr>
      </w:pPr>
      <w:r w:rsidRPr="003D04A8">
        <w:rPr>
          <w:i/>
          <w:noProof/>
        </w:rPr>
        <w:t>Pri vypĺňaní tohto oddielu postupujte podľa informácií v bode 76 písm. a) a v oddiele 5 (body 455 – 463) CEEAG.</w:t>
      </w:r>
    </w:p>
    <w:p w14:paraId="0371B8C0" w14:textId="77777777" w:rsidR="00C12101" w:rsidRPr="00701E4D" w:rsidRDefault="00C12101" w:rsidP="00C12101">
      <w:pPr>
        <w:pStyle w:val="ManualNumPar1"/>
        <w:rPr>
          <w:noProof/>
        </w:rPr>
      </w:pPr>
      <w:bookmarkStart w:id="8" w:name="_Hlk163747316"/>
      <w:r w:rsidRPr="00447796">
        <w:rPr>
          <w:noProof/>
        </w:rPr>
        <w:t>34.</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rPr>
        <w:footnoteReference w:id="9"/>
      </w:r>
      <w:r w:rsidRPr="00701E4D">
        <w:rPr>
          <w:noProof/>
        </w:rPr>
        <w:t>:</w:t>
      </w:r>
    </w:p>
    <w:p w14:paraId="3CC93E6B" w14:textId="77777777" w:rsidR="00C12101" w:rsidRPr="00701E4D" w:rsidRDefault="00C12101" w:rsidP="00C12101">
      <w:pPr>
        <w:tabs>
          <w:tab w:val="left" w:leader="dot" w:pos="9072"/>
        </w:tabs>
        <w:ind w:left="567"/>
        <w:rPr>
          <w:noProof/>
        </w:rPr>
      </w:pPr>
      <w:r w:rsidRPr="00701E4D">
        <w:rPr>
          <w:noProof/>
        </w:rPr>
        <w:tab/>
      </w:r>
    </w:p>
    <w:p w14:paraId="0F6C7035" w14:textId="77777777" w:rsidR="00C12101" w:rsidRPr="00701E4D" w:rsidRDefault="00C12101" w:rsidP="00C12101">
      <w:pPr>
        <w:pStyle w:val="ManualNumPar1"/>
        <w:rPr>
          <w:noProof/>
        </w:rPr>
      </w:pPr>
      <w:r w:rsidRPr="00447796">
        <w:rPr>
          <w:noProof/>
        </w:rPr>
        <w:t>35.</w:t>
      </w:r>
      <w:r w:rsidRPr="00447796">
        <w:rPr>
          <w:noProof/>
        </w:rPr>
        <w:tab/>
      </w:r>
      <w:r w:rsidRPr="00701E4D">
        <w:rPr>
          <w:noProof/>
        </w:rPr>
        <w:t>Ak je k dispozícii návrh plánu hodnotenia:</w:t>
      </w:r>
    </w:p>
    <w:p w14:paraId="4E1952DB" w14:textId="77777777" w:rsidR="00C12101" w:rsidRPr="00701E4D" w:rsidRDefault="00C12101" w:rsidP="00C12101">
      <w:pPr>
        <w:pStyle w:val="Point1"/>
        <w:rPr>
          <w:noProof/>
        </w:rPr>
      </w:pPr>
      <w:r w:rsidRPr="00701E4D">
        <w:rPr>
          <w:noProof/>
        </w:rPr>
        <w:t>a)</w:t>
      </w:r>
      <w:r w:rsidRPr="00701E4D">
        <w:rPr>
          <w:noProof/>
        </w:rPr>
        <w:tab/>
        <w:t>nižšie uveďte zhrnutie tohto návrhu plánu hodnotenia, ktorý je súčasťou prílohy:</w:t>
      </w:r>
    </w:p>
    <w:p w14:paraId="3C8C7ED7" w14:textId="77777777" w:rsidR="00C12101" w:rsidRPr="00701E4D" w:rsidRDefault="00C12101" w:rsidP="00C12101">
      <w:pPr>
        <w:tabs>
          <w:tab w:val="left" w:leader="dot" w:pos="9072"/>
        </w:tabs>
        <w:ind w:left="567"/>
        <w:rPr>
          <w:noProof/>
        </w:rPr>
      </w:pPr>
      <w:r w:rsidRPr="00701E4D">
        <w:rPr>
          <w:noProof/>
        </w:rPr>
        <w:tab/>
      </w:r>
    </w:p>
    <w:p w14:paraId="74EACB6E" w14:textId="77777777" w:rsidR="00C12101" w:rsidRPr="00701E4D" w:rsidRDefault="00C12101" w:rsidP="00C12101">
      <w:pPr>
        <w:pStyle w:val="Point1"/>
        <w:rPr>
          <w:noProof/>
        </w:rPr>
      </w:pPr>
      <w:r w:rsidRPr="00701E4D">
        <w:rPr>
          <w:noProof/>
        </w:rPr>
        <w:t>b)</w:t>
      </w:r>
      <w:r w:rsidRPr="00701E4D">
        <w:rPr>
          <w:noProof/>
        </w:rPr>
        <w:tab/>
        <w:t>potvrďte, že bude dodržaný bod 460 CEEAG:</w:t>
      </w:r>
    </w:p>
    <w:p w14:paraId="6E8B262E" w14:textId="77777777" w:rsidR="00C12101" w:rsidRPr="00701E4D" w:rsidRDefault="00C12101" w:rsidP="00C12101">
      <w:pPr>
        <w:tabs>
          <w:tab w:val="left" w:leader="dot" w:pos="9072"/>
        </w:tabs>
        <w:ind w:left="567"/>
        <w:rPr>
          <w:noProof/>
        </w:rPr>
      </w:pPr>
      <w:r w:rsidRPr="00701E4D">
        <w:rPr>
          <w:noProof/>
        </w:rPr>
        <w:tab/>
      </w:r>
    </w:p>
    <w:p w14:paraId="6B44B037" w14:textId="77777777" w:rsidR="00C12101" w:rsidRPr="00701E4D" w:rsidRDefault="00C12101" w:rsidP="00C12101">
      <w:pPr>
        <w:pStyle w:val="Point1"/>
        <w:rPr>
          <w:noProof/>
        </w:rPr>
      </w:pPr>
      <w:r w:rsidRPr="00701E4D">
        <w:rPr>
          <w:noProof/>
        </w:rPr>
        <w:t>c)</w:t>
      </w:r>
      <w:r w:rsidRPr="00701E4D">
        <w:rPr>
          <w:noProof/>
        </w:rPr>
        <w:tab/>
        <w:t>uveďte dátum a internetový odkaz, prostredníctvom ktorého bude plán hodnotenia verejne dostupný:</w:t>
      </w:r>
    </w:p>
    <w:p w14:paraId="45291169" w14:textId="77777777" w:rsidR="00C12101" w:rsidRPr="00701E4D" w:rsidRDefault="00C12101" w:rsidP="00C12101">
      <w:pPr>
        <w:tabs>
          <w:tab w:val="left" w:leader="dot" w:pos="9072"/>
        </w:tabs>
        <w:ind w:left="567"/>
        <w:rPr>
          <w:noProof/>
        </w:rPr>
      </w:pPr>
      <w:r w:rsidRPr="00701E4D">
        <w:rPr>
          <w:noProof/>
        </w:rPr>
        <w:tab/>
      </w:r>
    </w:p>
    <w:p w14:paraId="538DC47B" w14:textId="77777777" w:rsidR="00C12101" w:rsidRPr="00701E4D" w:rsidRDefault="00C12101" w:rsidP="00C12101">
      <w:pPr>
        <w:pStyle w:val="ManualNumPar1"/>
        <w:rPr>
          <w:noProof/>
        </w:rPr>
      </w:pPr>
      <w:r w:rsidRPr="00447796">
        <w:rPr>
          <w:noProof/>
        </w:rPr>
        <w:t>36.</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00B78CA3" w14:textId="77777777" w:rsidR="00C12101" w:rsidRPr="00701E4D" w:rsidRDefault="00C12101" w:rsidP="00C12101">
      <w:pPr>
        <w:tabs>
          <w:tab w:val="left" w:leader="dot" w:pos="9072"/>
        </w:tabs>
        <w:ind w:left="567"/>
        <w:rPr>
          <w:noProof/>
        </w:rPr>
      </w:pPr>
      <w:r w:rsidRPr="00701E4D">
        <w:rPr>
          <w:noProof/>
        </w:rPr>
        <w:lastRenderedPageBreak/>
        <w:tab/>
      </w:r>
    </w:p>
    <w:p w14:paraId="1C9AF68D" w14:textId="77777777" w:rsidR="00C12101" w:rsidRPr="00701E4D" w:rsidRDefault="00C12101" w:rsidP="00C12101">
      <w:pPr>
        <w:pStyle w:val="ManualNumPar1"/>
        <w:rPr>
          <w:noProof/>
        </w:rPr>
      </w:pPr>
      <w:r w:rsidRPr="00447796">
        <w:rPr>
          <w:noProof/>
        </w:rPr>
        <w:t>37.</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7FF12E93" w14:textId="77777777" w:rsidR="00C12101" w:rsidRPr="00701E4D" w:rsidRDefault="00C12101" w:rsidP="00C12101">
      <w:pPr>
        <w:tabs>
          <w:tab w:val="left" w:leader="dot" w:pos="9072"/>
        </w:tabs>
        <w:ind w:left="567"/>
        <w:rPr>
          <w:noProof/>
        </w:rPr>
      </w:pPr>
      <w:r w:rsidRPr="00701E4D">
        <w:rPr>
          <w:noProof/>
        </w:rPr>
        <w:tab/>
      </w:r>
    </w:p>
    <w:p w14:paraId="6294C150" w14:textId="77777777" w:rsidR="00C12101" w:rsidRPr="00701E4D" w:rsidRDefault="00C12101" w:rsidP="00C12101">
      <w:pPr>
        <w:pStyle w:val="ManualNumPar1"/>
        <w:rPr>
          <w:noProof/>
        </w:rPr>
      </w:pPr>
      <w:r w:rsidRPr="00447796">
        <w:rPr>
          <w:noProof/>
        </w:rPr>
        <w:t>38.</w:t>
      </w:r>
      <w:r w:rsidRPr="00447796">
        <w:rPr>
          <w:noProof/>
        </w:rPr>
        <w:tab/>
      </w:r>
      <w:r w:rsidRPr="00701E4D">
        <w:rPr>
          <w:noProof/>
        </w:rPr>
        <w:t>Na overenie súladu s bodom 461 CEEAG:</w:t>
      </w:r>
    </w:p>
    <w:p w14:paraId="7FC8FEB0" w14:textId="77777777" w:rsidR="00C12101" w:rsidRPr="00701E4D" w:rsidRDefault="00C12101" w:rsidP="00C12101">
      <w:pPr>
        <w:pStyle w:val="Point1"/>
        <w:rPr>
          <w:noProof/>
        </w:rPr>
      </w:pPr>
      <w:r w:rsidRPr="00701E4D">
        <w:rPr>
          <w:noProof/>
        </w:rPr>
        <w:t>a)</w:t>
      </w:r>
      <w:r w:rsidRPr="00701E4D">
        <w:rPr>
          <w:noProof/>
        </w:rPr>
        <w:tab/>
        <w:t>Objasnite, či už bol vybraný nezávislý znalec alebo či bude vybraný v budúcnosti:</w:t>
      </w:r>
    </w:p>
    <w:p w14:paraId="5CDFA3F7" w14:textId="77777777" w:rsidR="00C12101" w:rsidRPr="00701E4D" w:rsidRDefault="00C12101" w:rsidP="00C12101">
      <w:pPr>
        <w:tabs>
          <w:tab w:val="left" w:leader="dot" w:pos="9072"/>
        </w:tabs>
        <w:ind w:left="567"/>
        <w:rPr>
          <w:noProof/>
        </w:rPr>
      </w:pPr>
      <w:r w:rsidRPr="00701E4D">
        <w:rPr>
          <w:noProof/>
        </w:rPr>
        <w:tab/>
      </w:r>
    </w:p>
    <w:p w14:paraId="0AA228A7" w14:textId="77777777" w:rsidR="00C12101" w:rsidRPr="00701E4D" w:rsidRDefault="00C12101" w:rsidP="00C12101">
      <w:pPr>
        <w:pStyle w:val="Point1"/>
        <w:rPr>
          <w:noProof/>
        </w:rPr>
      </w:pPr>
      <w:r w:rsidRPr="00701E4D">
        <w:rPr>
          <w:noProof/>
        </w:rPr>
        <w:t>b)</w:t>
      </w:r>
      <w:r w:rsidRPr="00701E4D">
        <w:rPr>
          <w:noProof/>
        </w:rPr>
        <w:tab/>
        <w:t>Uveďte informácie o výberovom konaní na pozíciu znalca:</w:t>
      </w:r>
    </w:p>
    <w:p w14:paraId="09FE540E" w14:textId="77777777" w:rsidR="00C12101" w:rsidRPr="00701E4D" w:rsidRDefault="00C12101" w:rsidP="00C12101">
      <w:pPr>
        <w:tabs>
          <w:tab w:val="left" w:leader="dot" w:pos="9072"/>
        </w:tabs>
        <w:ind w:left="567"/>
        <w:rPr>
          <w:noProof/>
        </w:rPr>
      </w:pPr>
      <w:r w:rsidRPr="00701E4D">
        <w:rPr>
          <w:noProof/>
        </w:rPr>
        <w:tab/>
      </w:r>
    </w:p>
    <w:p w14:paraId="7CEB5833" w14:textId="77777777" w:rsidR="00C12101" w:rsidRPr="00701E4D" w:rsidRDefault="00C12101" w:rsidP="00C12101">
      <w:pPr>
        <w:pStyle w:val="Point1"/>
        <w:rPr>
          <w:noProof/>
        </w:rPr>
      </w:pPr>
      <w:r w:rsidRPr="00701E4D">
        <w:rPr>
          <w:noProof/>
        </w:rPr>
        <w:t>c)</w:t>
      </w:r>
      <w:r w:rsidRPr="00701E4D">
        <w:rPr>
          <w:noProof/>
        </w:rPr>
        <w:tab/>
        <w:t>Zdôvodnite, prečo je znalec nezávislý od orgánu poskytujúceho pomoc:</w:t>
      </w:r>
    </w:p>
    <w:p w14:paraId="6BA3A8CA" w14:textId="77777777" w:rsidR="00C12101" w:rsidRPr="00701E4D" w:rsidRDefault="00C12101" w:rsidP="00C12101">
      <w:pPr>
        <w:tabs>
          <w:tab w:val="left" w:leader="dot" w:pos="9072"/>
        </w:tabs>
        <w:ind w:left="567"/>
        <w:rPr>
          <w:noProof/>
        </w:rPr>
      </w:pPr>
      <w:r w:rsidRPr="00701E4D">
        <w:rPr>
          <w:noProof/>
        </w:rPr>
        <w:tab/>
      </w:r>
    </w:p>
    <w:p w14:paraId="008F4ECA" w14:textId="77777777" w:rsidR="00C12101" w:rsidRPr="00701E4D" w:rsidRDefault="00C12101" w:rsidP="00C12101">
      <w:pPr>
        <w:pStyle w:val="ManualNumPar1"/>
        <w:rPr>
          <w:noProof/>
        </w:rPr>
      </w:pPr>
      <w:r w:rsidRPr="00447796">
        <w:rPr>
          <w:noProof/>
        </w:rPr>
        <w:t>39.</w:t>
      </w:r>
      <w:r w:rsidRPr="00447796">
        <w:rPr>
          <w:noProof/>
        </w:rPr>
        <w:tab/>
      </w:r>
      <w:r w:rsidRPr="00701E4D">
        <w:rPr>
          <w:noProof/>
        </w:rPr>
        <w:t xml:space="preserve">Na overenie súladu s bodom 461 CEEAG: </w:t>
      </w:r>
    </w:p>
    <w:p w14:paraId="14CE432C" w14:textId="77777777" w:rsidR="00C12101" w:rsidRPr="00701E4D" w:rsidRDefault="00C12101" w:rsidP="00C12101">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47F3B3C5" w14:textId="77777777" w:rsidR="00C12101" w:rsidRPr="00701E4D" w:rsidRDefault="00C12101" w:rsidP="00C12101">
      <w:pPr>
        <w:tabs>
          <w:tab w:val="left" w:leader="dot" w:pos="9072"/>
        </w:tabs>
        <w:ind w:left="567"/>
        <w:rPr>
          <w:noProof/>
        </w:rPr>
      </w:pPr>
      <w:r w:rsidRPr="00701E4D">
        <w:rPr>
          <w:noProof/>
        </w:rPr>
        <w:tab/>
      </w:r>
    </w:p>
    <w:p w14:paraId="6B44682A" w14:textId="77777777" w:rsidR="00C12101" w:rsidRPr="00701E4D" w:rsidRDefault="00C12101" w:rsidP="00C12101">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bookmarkEnd w:id="8"/>
    <w:p w14:paraId="3A5D0274" w14:textId="77777777" w:rsidR="00C12101" w:rsidRPr="00701E4D" w:rsidRDefault="00C12101" w:rsidP="00C12101">
      <w:pPr>
        <w:tabs>
          <w:tab w:val="left" w:leader="dot" w:pos="9072"/>
        </w:tabs>
        <w:ind w:left="567"/>
        <w:rPr>
          <w:noProof/>
        </w:rPr>
      </w:pPr>
      <w:r w:rsidRPr="00701E4D">
        <w:rPr>
          <w:noProof/>
        </w:rPr>
        <w:tab/>
      </w:r>
    </w:p>
    <w:p w14:paraId="1D33E4E6" w14:textId="77777777" w:rsidR="00C12101" w:rsidRPr="003D04A8" w:rsidRDefault="00C12101" w:rsidP="00C12101">
      <w:pPr>
        <w:pStyle w:val="ManualHeading1"/>
        <w:rPr>
          <w:smallCaps w:val="0"/>
          <w:noProof/>
        </w:rPr>
      </w:pPr>
      <w:r w:rsidRPr="003D04A8">
        <w:rPr>
          <w:smallCaps w:val="0"/>
          <w:noProof/>
        </w:rPr>
        <w:t>Oddiel D: Podávanie správ a monitorovanie</w:t>
      </w:r>
    </w:p>
    <w:p w14:paraId="6AE10D57" w14:textId="77777777" w:rsidR="00C12101" w:rsidRPr="003D04A8" w:rsidRDefault="00C12101" w:rsidP="00C12101">
      <w:pPr>
        <w:rPr>
          <w:i/>
          <w:iCs/>
          <w:noProof/>
        </w:rPr>
      </w:pPr>
      <w:r w:rsidRPr="003D04A8">
        <w:rPr>
          <w:i/>
          <w:noProof/>
        </w:rPr>
        <w:t>Pri vypĺňaní tohto oddielu postupujte podľa informácií v oddiele 6 (body 464 – 465) CEEAG.</w:t>
      </w:r>
    </w:p>
    <w:p w14:paraId="56C9AEE0" w14:textId="77777777" w:rsidR="00C12101" w:rsidRPr="00701E4D" w:rsidRDefault="00C12101" w:rsidP="00C12101">
      <w:pPr>
        <w:pStyle w:val="ManualNumPar1"/>
        <w:rPr>
          <w:noProof/>
        </w:rPr>
      </w:pPr>
      <w:r w:rsidRPr="00447796">
        <w:rPr>
          <w:noProof/>
        </w:rPr>
        <w:t>40.</w:t>
      </w:r>
      <w:r w:rsidRPr="00447796">
        <w:rPr>
          <w:noProof/>
        </w:rPr>
        <w:tab/>
      </w:r>
      <w:r w:rsidRPr="00701E4D">
        <w:rPr>
          <w:noProof/>
        </w:rPr>
        <w:t>Potvrďte, že členský štát splní požiadavky na podávanie správ a monitorovanie stanovené v oddiele 6 bodoch 464 a 465 CEEAG:</w:t>
      </w:r>
    </w:p>
    <w:p w14:paraId="1246B35A" w14:textId="77777777" w:rsidR="00C12101" w:rsidRPr="00701E4D" w:rsidRDefault="00C12101" w:rsidP="00C12101">
      <w:pPr>
        <w:tabs>
          <w:tab w:val="left" w:leader="dot" w:pos="9072"/>
        </w:tabs>
        <w:ind w:left="567"/>
        <w:rPr>
          <w:noProof/>
        </w:rPr>
      </w:pPr>
      <w:r w:rsidRPr="00701E4D">
        <w:rPr>
          <w:noProof/>
        </w:rPr>
        <w:tab/>
      </w:r>
    </w:p>
    <w:p w14:paraId="04341573"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89AF" w14:textId="77777777" w:rsidR="00407001" w:rsidRDefault="00407001" w:rsidP="00C12101">
      <w:pPr>
        <w:spacing w:before="0" w:after="0"/>
      </w:pPr>
      <w:r>
        <w:separator/>
      </w:r>
    </w:p>
  </w:endnote>
  <w:endnote w:type="continuationSeparator" w:id="0">
    <w:p w14:paraId="358002AF" w14:textId="77777777" w:rsidR="00407001" w:rsidRDefault="00407001" w:rsidP="00C121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D93" w14:textId="77777777" w:rsidR="00C12101" w:rsidRDefault="00C121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4412" w14:textId="1F334767" w:rsidR="00C12101" w:rsidRDefault="00C12101" w:rsidP="00C12101">
    <w:pPr>
      <w:pStyle w:val="Pta"/>
      <w:jc w:val="center"/>
    </w:pPr>
    <w:r>
      <w:fldChar w:fldCharType="begin"/>
    </w:r>
    <w:r>
      <w:instrText xml:space="preserve"> PAGE  \* Arabic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A381" w14:textId="77777777" w:rsidR="00C12101" w:rsidRDefault="00C121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A752" w14:textId="77777777" w:rsidR="00407001" w:rsidRDefault="00407001" w:rsidP="00C12101">
      <w:pPr>
        <w:spacing w:before="0" w:after="0"/>
      </w:pPr>
      <w:r>
        <w:separator/>
      </w:r>
    </w:p>
  </w:footnote>
  <w:footnote w:type="continuationSeparator" w:id="0">
    <w:p w14:paraId="1C1F5604" w14:textId="77777777" w:rsidR="00407001" w:rsidRDefault="00407001" w:rsidP="00C12101">
      <w:pPr>
        <w:spacing w:before="0" w:after="0"/>
      </w:pPr>
      <w:r>
        <w:continuationSeparator/>
      </w:r>
    </w:p>
  </w:footnote>
  <w:footnote w:id="1">
    <w:p w14:paraId="3D5B2D5B" w14:textId="77777777" w:rsidR="00C12101" w:rsidRPr="0067348B" w:rsidRDefault="00C12101" w:rsidP="00C12101">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6DE7D598" w14:textId="77777777" w:rsidR="00C12101" w:rsidRPr="0067348B" w:rsidRDefault="00C12101" w:rsidP="00C12101">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71FA2ABE" w14:textId="77777777" w:rsidR="00C12101" w:rsidRDefault="00C12101" w:rsidP="00C12101">
      <w:pPr>
        <w:pStyle w:val="Textpoznmkypodiarou"/>
      </w:pPr>
      <w:r>
        <w:rPr>
          <w:rStyle w:val="Odkaznapoznmkupodiarou"/>
        </w:rPr>
        <w:footnoteRef/>
      </w:r>
      <w:r>
        <w:tab/>
        <w:t>Pozri rozsudok Súdneho dvora z 13. júna 2013, HGA a i./Komisia, C-630/11 P až C-633/11 P, ECLI:EU:C:2013:387, bod 104.</w:t>
      </w:r>
    </w:p>
  </w:footnote>
  <w:footnote w:id="4">
    <w:p w14:paraId="2546A50D" w14:textId="77777777" w:rsidR="00C12101" w:rsidRPr="004B74BC" w:rsidRDefault="00C12101" w:rsidP="00C12101">
      <w:pPr>
        <w:pStyle w:val="Textpoznmkypodiarou"/>
      </w:pPr>
      <w:r>
        <w:rPr>
          <w:rStyle w:val="Odkaznapoznmkupodiarou"/>
        </w:rPr>
        <w:footnoteRef/>
      </w:r>
      <w:r>
        <w:tab/>
        <w:t>Podľa bodu 19 podbodu 63 CEEAG je „referenčný projekt“ príklad bežného projektu v kategórii oprávnených príjemcov schémy pomoci.</w:t>
      </w:r>
    </w:p>
  </w:footnote>
  <w:footnote w:id="5">
    <w:p w14:paraId="2236981A" w14:textId="77777777" w:rsidR="00C12101" w:rsidRDefault="00C12101" w:rsidP="00C12101">
      <w:pPr>
        <w:pStyle w:val="Textpoznmkypodiarou"/>
      </w:pPr>
      <w:r>
        <w:rPr>
          <w:rStyle w:val="Odkaznapoznmkupodiarou"/>
        </w:rPr>
        <w:footnoteRef/>
      </w:r>
      <w:r>
        <w:tab/>
        <w:t>Podľa bodu 19 podbodu 89 CEEAG „norma Únie“ je:</w:t>
      </w:r>
    </w:p>
    <w:p w14:paraId="2375CFA6" w14:textId="77777777" w:rsidR="00C12101" w:rsidRPr="003D04A8" w:rsidRDefault="00C12101" w:rsidP="00C12101">
      <w:pPr>
        <w:pStyle w:val="Textpoznmkypodiarou"/>
        <w:numPr>
          <w:ilvl w:val="0"/>
          <w:numId w:val="47"/>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79ABE19A" w14:textId="77777777" w:rsidR="00C12101" w:rsidRDefault="00C12101" w:rsidP="00C12101">
      <w:pPr>
        <w:pStyle w:val="Textpoznmkypodiarou"/>
        <w:numPr>
          <w:ilvl w:val="0"/>
          <w:numId w:val="47"/>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6">
    <w:p w14:paraId="51FACA07" w14:textId="77777777" w:rsidR="00C12101" w:rsidRDefault="00C12101" w:rsidP="00C12101">
      <w:pPr>
        <w:pStyle w:val="Textpoznmkypodiarou"/>
      </w:pPr>
      <w:r>
        <w:rPr>
          <w:rStyle w:val="Odkaznapoznmkupodiarou"/>
        </w:rPr>
        <w:footnoteRef/>
      </w:r>
      <w:r>
        <w:tab/>
        <w:t>V bode 51 CEEAG sa stanovuje, že „</w:t>
      </w:r>
      <w:r w:rsidRPr="003D04A8">
        <w:rPr>
          <w:i/>
          <w:color w:val="000000"/>
          <w:shd w:val="clear" w:color="auto" w:fill="FFFFFF"/>
        </w:rPr>
        <w:t>[t]ypické čisté dodatočné náklady možno odhadnúť ako rozdiel medzi čistou súčasnou [hodnotou] v rámci faktického a kontrafaktuálneho scenára počas celého času trvania referenčného projektu</w:t>
      </w:r>
      <w:r>
        <w:t>“.</w:t>
      </w:r>
    </w:p>
  </w:footnote>
  <w:footnote w:id="7">
    <w:p w14:paraId="1D255CC4" w14:textId="77777777" w:rsidR="00C12101" w:rsidRDefault="00C12101" w:rsidP="00C12101">
      <w:pPr>
        <w:pStyle w:val="Textpoznmkypodiarou"/>
      </w:pPr>
      <w:r>
        <w:rPr>
          <w:rStyle w:val="Odkaznapoznmkupodiarou"/>
        </w:rPr>
        <w:footnoteRef/>
      </w:r>
      <w:r>
        <w:tab/>
        <w:t>Upozorňujeme, že podľa poznámky pod čiarou č. 46 CEEAG „</w:t>
      </w:r>
      <w:r w:rsidRPr="003D04A8">
        <w:rPr>
          <w:i/>
        </w:rPr>
        <w:t>[j]e potrebné zvážiť všetky relevantné očakávané náklady a prínosy počas celého času trvania projektu</w:t>
      </w:r>
      <w:r>
        <w:t>“.</w:t>
      </w:r>
    </w:p>
  </w:footnote>
  <w:footnote w:id="8">
    <w:p w14:paraId="3D648619" w14:textId="77777777" w:rsidR="00C12101" w:rsidRDefault="00C12101" w:rsidP="00C12101">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9">
    <w:p w14:paraId="54793E14" w14:textId="77777777" w:rsidR="00C12101" w:rsidRDefault="00C12101" w:rsidP="00C12101">
      <w:pPr>
        <w:pStyle w:val="Textpoznmkypodiarou"/>
      </w:pPr>
      <w:r>
        <w:rPr>
          <w:rStyle w:val="Odkaznapoznmkupodiarou"/>
        </w:rPr>
        <w:footnoteRef/>
      </w:r>
      <w:r>
        <w:tab/>
        <w:t xml:space="preserve">Vzor formulára doplňujúcich informácií na oznámenie plánu hodnotenia (časť III.8) je k dispozícii tu: </w:t>
      </w:r>
      <w:hyperlink r:id="rId1"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737" w14:textId="77777777" w:rsidR="00C12101" w:rsidRDefault="00C121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106" w14:textId="77777777" w:rsidR="00C12101" w:rsidRDefault="00C1210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07C5" w14:textId="77777777" w:rsidR="00C12101" w:rsidRDefault="00C121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CA71910"/>
    <w:multiLevelType w:val="hybridMultilevel"/>
    <w:tmpl w:val="2CC603C0"/>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8"/>
  </w:num>
  <w:num w:numId="2" w16cid:durableId="95298708">
    <w:abstractNumId w:val="18"/>
  </w:num>
  <w:num w:numId="3" w16cid:durableId="802700955">
    <w:abstractNumId w:val="18"/>
  </w:num>
  <w:num w:numId="4" w16cid:durableId="1127968917">
    <w:abstractNumId w:val="18"/>
  </w:num>
  <w:num w:numId="5" w16cid:durableId="223375932">
    <w:abstractNumId w:val="17"/>
  </w:num>
  <w:num w:numId="6" w16cid:durableId="1928878745">
    <w:abstractNumId w:val="17"/>
  </w:num>
  <w:num w:numId="7" w16cid:durableId="1198002612">
    <w:abstractNumId w:val="12"/>
  </w:num>
  <w:num w:numId="8" w16cid:durableId="537358098">
    <w:abstractNumId w:val="12"/>
  </w:num>
  <w:num w:numId="9" w16cid:durableId="70546065">
    <w:abstractNumId w:val="12"/>
  </w:num>
  <w:num w:numId="10" w16cid:durableId="1999067676">
    <w:abstractNumId w:val="16"/>
  </w:num>
  <w:num w:numId="11" w16cid:durableId="269362632">
    <w:abstractNumId w:val="20"/>
  </w:num>
  <w:num w:numId="12" w16cid:durableId="943927640">
    <w:abstractNumId w:val="21"/>
  </w:num>
  <w:num w:numId="13" w16cid:durableId="547230529">
    <w:abstractNumId w:val="11"/>
  </w:num>
  <w:num w:numId="14" w16cid:durableId="2009407815">
    <w:abstractNumId w:val="19"/>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4"/>
  </w:num>
  <w:num w:numId="45" w16cid:durableId="1772776582">
    <w:abstractNumId w:val="8"/>
    <w:lvlOverride w:ilvl="0">
      <w:startOverride w:val="1"/>
    </w:lvlOverride>
  </w:num>
  <w:num w:numId="46" w16cid:durableId="4794621">
    <w:abstractNumId w:val="15"/>
    <w:lvlOverride w:ilvl="0">
      <w:startOverride w:val="1"/>
    </w:lvlOverride>
  </w:num>
  <w:num w:numId="47" w16cid:durableId="1889756099">
    <w:abstractNumId w:val="13"/>
  </w:num>
  <w:num w:numId="48" w16cid:durableId="36047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12101"/>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001"/>
    <w:rsid w:val="00407127"/>
    <w:rsid w:val="0041673B"/>
    <w:rsid w:val="004210FB"/>
    <w:rsid w:val="004425B3"/>
    <w:rsid w:val="00457E62"/>
    <w:rsid w:val="00473044"/>
    <w:rsid w:val="0047552D"/>
    <w:rsid w:val="00483A8A"/>
    <w:rsid w:val="0048768B"/>
    <w:rsid w:val="00496832"/>
    <w:rsid w:val="004A093C"/>
    <w:rsid w:val="004C17F1"/>
    <w:rsid w:val="004C578C"/>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12101"/>
    <w:rsid w:val="00C21EF9"/>
    <w:rsid w:val="00C24465"/>
    <w:rsid w:val="00C27F51"/>
    <w:rsid w:val="00C43034"/>
    <w:rsid w:val="00C6059E"/>
    <w:rsid w:val="00C60826"/>
    <w:rsid w:val="00C66A16"/>
    <w:rsid w:val="00C67855"/>
    <w:rsid w:val="00C725A7"/>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2E4F"/>
  <w15:chartTrackingRefBased/>
  <w15:docId w15:val="{87A7C666-A9B7-44BD-AFF6-1D6F7292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2101"/>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C12101"/>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C12101"/>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C12101"/>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C12101"/>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C1210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210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121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1210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12101"/>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12101"/>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C12101"/>
    <w:rPr>
      <w:i/>
      <w:iCs/>
      <w:color w:val="365F91" w:themeColor="accent1" w:themeShade="BF"/>
    </w:rPr>
  </w:style>
  <w:style w:type="paragraph" w:styleId="Zvraznencitcia">
    <w:name w:val="Intense Quote"/>
    <w:basedOn w:val="Normlny"/>
    <w:next w:val="Normlny"/>
    <w:link w:val="ZvraznencitciaChar"/>
    <w:uiPriority w:val="30"/>
    <w:qFormat/>
    <w:rsid w:val="00C121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12101"/>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C12101"/>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C12101"/>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C12101"/>
    <w:pPr>
      <w:ind w:left="850"/>
    </w:pPr>
  </w:style>
  <w:style w:type="paragraph" w:customStyle="1" w:styleId="Point1">
    <w:name w:val="Point 1"/>
    <w:basedOn w:val="Normlny"/>
    <w:rsid w:val="00C12101"/>
    <w:pPr>
      <w:ind w:left="1417" w:hanging="567"/>
    </w:pPr>
  </w:style>
  <w:style w:type="paragraph" w:customStyle="1" w:styleId="Tiret1">
    <w:name w:val="Tiret 1"/>
    <w:basedOn w:val="Point1"/>
    <w:rsid w:val="00C1210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3460</Words>
  <Characters>19725</Characters>
  <Application>Microsoft Office Word</Application>
  <DocSecurity>0</DocSecurity>
  <Lines>164</Lines>
  <Paragraphs>46</Paragraphs>
  <ScaleCrop>false</ScaleCrop>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2026-03-06T08:41:00Z</dcterms:created>
  <dcterms:modified xsi:type="dcterms:W3CDTF">2026-03-06T08:41:00Z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2025-06-09T09:32:06Z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46038618-f5b7-4c16-bd9a-e76c3ea915b6</vt:lpwstr>
  </property>
  <property fmtid="{D5CDD505-2E9C-101B-9397-08002B2CF9AE}" pid="8" name="MSIP_Label_6bd9ddd1-4d20-43f6-abfa-fc3c07406f94_ContentBits">
    <vt:lpwstr>0</vt:lpwstr>
  </property>
</Properties>
</file>