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F1A8D" w14:textId="24FAD1F3" w:rsidR="007D4BDB" w:rsidRPr="00701E4D" w:rsidRDefault="007D4BDB" w:rsidP="007D4BDB">
      <w:pPr>
        <w:pStyle w:val="ManualHeading1"/>
        <w:rPr>
          <w:noProof/>
        </w:rPr>
      </w:pPr>
      <w:r w:rsidRPr="003D04A8">
        <w:rPr>
          <w:noProof/>
        </w:rPr>
        <w:t xml:space="preserve">ČASŤ III.6.L </w:t>
      </w:r>
      <w:r>
        <w:rPr>
          <w:noProof/>
        </w:rPr>
        <w:t xml:space="preserve">- </w:t>
      </w:r>
      <w:r w:rsidRPr="00701E4D">
        <w:rPr>
          <w:noProof/>
        </w:rPr>
        <w:t>Formulár doplňujúcich informácií o štátnej pomoci poskytovanej na základe Usmernení o štátnej pomoci v oblasti klímy, ochrany životného prostredia a energetiky na rok 2022 (ďalej len „CEEAG“) – oddiel 4.10 – Pomoc v oblasti centralizovaného zásobovania teplom a chladom</w:t>
      </w:r>
    </w:p>
    <w:p w14:paraId="706A6D95" w14:textId="77777777" w:rsidR="007D4BDB" w:rsidRPr="003D04A8" w:rsidRDefault="007D4BDB" w:rsidP="007D4BDB">
      <w:pPr>
        <w:ind w:right="-142"/>
        <w:rPr>
          <w:i/>
          <w:iCs/>
          <w:noProof/>
        </w:rPr>
      </w:pPr>
      <w:r w:rsidRPr="003D04A8">
        <w:rPr>
          <w:i/>
          <w:noProof/>
        </w:rPr>
        <w:t xml:space="preserve">Tento formulár doplňujúcich informácií sa týka opatrení, na ktoré sa vzťahuje oddiel 4.10 CEEAG. Ak notifikácia zahŕňa opatrenia, na ktoré sa vzťahuje viac ako jeden oddiel CEEAG, vyplňte aj príslušný formulár doplňujúcich informácií, ktorý sa týka príslušného oddielu CEEAG, keď bude daný formulár dostupný. </w:t>
      </w:r>
    </w:p>
    <w:p w14:paraId="3DFAEF94" w14:textId="77777777" w:rsidR="007D4BDB" w:rsidRPr="003D04A8" w:rsidRDefault="007D4BDB" w:rsidP="007D4BDB">
      <w:pPr>
        <w:ind w:right="-142"/>
        <w:rPr>
          <w:i/>
          <w:iCs/>
          <w:noProof/>
        </w:rPr>
      </w:pPr>
      <w:r w:rsidRPr="003D04A8">
        <w:rPr>
          <w:i/>
          <w:noProof/>
        </w:rPr>
        <w:t xml:space="preserve">Všetky dokumenty, ktoré členské štáty poskytnú ako prílohy k tomuto formuláru doplňujúcich informácií, musia byť očíslované a čísla dokumentov musia byť uvedené v príslušných oddieloch tohto formulára doplňujúcich informácií. </w:t>
      </w:r>
    </w:p>
    <w:p w14:paraId="5EC5E3BF" w14:textId="77777777" w:rsidR="007D4BDB" w:rsidRPr="003D04A8" w:rsidRDefault="007D4BDB" w:rsidP="007D4BDB">
      <w:pPr>
        <w:pStyle w:val="ManualHeading2"/>
        <w:rPr>
          <w:noProof/>
        </w:rPr>
      </w:pPr>
      <w:r w:rsidRPr="003D04A8">
        <w:rPr>
          <w:noProof/>
        </w:rPr>
        <w:t>Oddiel A: Zhrnutie hlavných charakteristík notifikovaného opatrenia/notifikovaných opatrení</w:t>
      </w:r>
    </w:p>
    <w:p w14:paraId="68BEEE33" w14:textId="77777777" w:rsidR="007D4BDB" w:rsidRPr="00701E4D" w:rsidRDefault="007D4BDB" w:rsidP="007D4BDB">
      <w:pPr>
        <w:pStyle w:val="ManualNumPar1"/>
        <w:rPr>
          <w:noProof/>
        </w:rPr>
      </w:pPr>
      <w:r w:rsidRPr="00447796">
        <w:rPr>
          <w:noProof/>
        </w:rPr>
        <w:t>1.</w:t>
      </w:r>
      <w:r w:rsidRPr="00447796">
        <w:rPr>
          <w:noProof/>
        </w:rPr>
        <w:tab/>
      </w:r>
      <w:r w:rsidRPr="00701E4D">
        <w:rPr>
          <w:noProof/>
        </w:rPr>
        <w:t>Kontext a cieľ/ciele notifikovaného opatrenia/notifikovaných opatrení</w:t>
      </w:r>
    </w:p>
    <w:p w14:paraId="7FC5163B" w14:textId="77777777" w:rsidR="007D4BDB" w:rsidRPr="00701E4D" w:rsidRDefault="007D4BDB" w:rsidP="007D4BDB">
      <w:pPr>
        <w:pStyle w:val="ManualNumPar2"/>
        <w:rPr>
          <w:noProof/>
        </w:rPr>
      </w:pPr>
      <w:r w:rsidRPr="00447796">
        <w:rPr>
          <w:noProof/>
        </w:rPr>
        <w:t>1.1.</w:t>
      </w:r>
      <w:r w:rsidRPr="00447796">
        <w:rPr>
          <w:noProof/>
        </w:rPr>
        <w:tab/>
      </w:r>
      <w:r w:rsidRPr="00701E4D">
        <w:rPr>
          <w:noProof/>
        </w:rPr>
        <w:t>Ak už neboli uvedené v oddiele 5.2 formulára všeobecných informácií (časť I), uveďte kontext a hlavný cieľ vrátane všetkých cieľov Únie v oblasti znižovania a odstraňovania emisií skleníkových plynov, ktoré má opatrenie podporiť:</w:t>
      </w:r>
    </w:p>
    <w:p w14:paraId="46F2D15D" w14:textId="77777777" w:rsidR="007D4BDB" w:rsidRPr="00701E4D" w:rsidRDefault="007D4BDB" w:rsidP="007D4BDB">
      <w:pPr>
        <w:tabs>
          <w:tab w:val="left" w:leader="dot" w:pos="9072"/>
        </w:tabs>
        <w:ind w:left="360"/>
        <w:rPr>
          <w:noProof/>
        </w:rPr>
      </w:pPr>
      <w:r w:rsidRPr="00701E4D">
        <w:rPr>
          <w:noProof/>
        </w:rPr>
        <w:tab/>
      </w:r>
    </w:p>
    <w:p w14:paraId="6C56C768" w14:textId="77777777" w:rsidR="007D4BDB" w:rsidRPr="00701E4D" w:rsidRDefault="007D4BDB" w:rsidP="007D4BDB">
      <w:pPr>
        <w:pStyle w:val="ManualNumPar2"/>
        <w:rPr>
          <w:noProof/>
        </w:rPr>
      </w:pPr>
      <w:r w:rsidRPr="00447796">
        <w:rPr>
          <w:noProof/>
        </w:rPr>
        <w:t>1.2.</w:t>
      </w:r>
      <w:r w:rsidRPr="00447796">
        <w:rPr>
          <w:noProof/>
        </w:rPr>
        <w:tab/>
      </w:r>
      <w:r w:rsidRPr="00701E4D">
        <w:rPr>
          <w:noProof/>
        </w:rPr>
        <w:t>Uveďte všetky ďalšie ciele, ktoré opatrenie sleduje. V prípade všetkých cieľov, ktoré nemajú čisto environmentálny charakter, vysvetlite, či môžu viesť k akýmkoľvek narušeniam vnútorného trhu:</w:t>
      </w:r>
    </w:p>
    <w:p w14:paraId="582CCCD4" w14:textId="77777777" w:rsidR="007D4BDB" w:rsidRPr="00701E4D" w:rsidRDefault="007D4BDB" w:rsidP="007D4BDB">
      <w:pPr>
        <w:tabs>
          <w:tab w:val="left" w:leader="dot" w:pos="9072"/>
        </w:tabs>
        <w:ind w:left="360"/>
        <w:rPr>
          <w:noProof/>
        </w:rPr>
      </w:pPr>
      <w:r w:rsidRPr="00701E4D">
        <w:rPr>
          <w:noProof/>
        </w:rPr>
        <w:tab/>
      </w:r>
    </w:p>
    <w:p w14:paraId="49BAB828" w14:textId="77777777" w:rsidR="007D4BDB" w:rsidRPr="00701E4D" w:rsidRDefault="007D4BDB" w:rsidP="007D4BDB">
      <w:pPr>
        <w:pStyle w:val="ManualNumPar1"/>
        <w:rPr>
          <w:bCs/>
          <w:noProof/>
        </w:rPr>
      </w:pPr>
      <w:r w:rsidRPr="00447796">
        <w:rPr>
          <w:noProof/>
        </w:rPr>
        <w:t>2.</w:t>
      </w:r>
      <w:r w:rsidRPr="00447796">
        <w:rPr>
          <w:noProof/>
        </w:rPr>
        <w:tab/>
      </w:r>
      <w:r w:rsidRPr="00701E4D">
        <w:rPr>
          <w:noProof/>
        </w:rPr>
        <w:t>Nadobudnutie účinnosti a trvanie</w:t>
      </w:r>
    </w:p>
    <w:p w14:paraId="1B37B9E4" w14:textId="77777777" w:rsidR="007D4BDB" w:rsidRPr="00701E4D" w:rsidRDefault="007D4BDB" w:rsidP="007D4BDB">
      <w:pPr>
        <w:pStyle w:val="ManualNumPar2"/>
        <w:rPr>
          <w:noProof/>
        </w:rPr>
      </w:pPr>
      <w:r w:rsidRPr="00447796">
        <w:rPr>
          <w:noProof/>
        </w:rPr>
        <w:t>2.1.</w:t>
      </w:r>
      <w:r w:rsidRPr="00447796">
        <w:rPr>
          <w:noProof/>
        </w:rPr>
        <w:tab/>
      </w:r>
      <w:r w:rsidRPr="00701E4D">
        <w:rPr>
          <w:noProof/>
        </w:rPr>
        <w:t xml:space="preserve">Uveďte dátum, od ktorého sa plánuje nadobudnutie účinnosti schémy pomoci, ak ešte nebol uvedený v oddiele </w:t>
      </w:r>
      <w:r>
        <w:rPr>
          <w:noProof/>
        </w:rPr>
        <w:t>5.4</w:t>
      </w:r>
      <w:r w:rsidRPr="00701E4D">
        <w:rPr>
          <w:noProof/>
        </w:rPr>
        <w:t xml:space="preserve"> formulára všeobecných informácií (časť I):</w:t>
      </w:r>
    </w:p>
    <w:p w14:paraId="43E30DC2" w14:textId="77777777" w:rsidR="007D4BDB" w:rsidRPr="00701E4D" w:rsidRDefault="007D4BDB" w:rsidP="007D4BDB">
      <w:pPr>
        <w:tabs>
          <w:tab w:val="left" w:leader="dot" w:pos="9072"/>
        </w:tabs>
        <w:ind w:left="567"/>
        <w:rPr>
          <w:noProof/>
        </w:rPr>
      </w:pPr>
      <w:r w:rsidRPr="00701E4D">
        <w:rPr>
          <w:noProof/>
        </w:rPr>
        <w:tab/>
      </w:r>
    </w:p>
    <w:p w14:paraId="7893B293" w14:textId="77777777" w:rsidR="007D4BDB" w:rsidRPr="00701E4D" w:rsidRDefault="007D4BDB" w:rsidP="007D4BDB">
      <w:pPr>
        <w:pStyle w:val="ManualNumPar2"/>
        <w:rPr>
          <w:noProof/>
          <w:szCs w:val="24"/>
        </w:rPr>
      </w:pPr>
      <w:r w:rsidRPr="00447796">
        <w:rPr>
          <w:noProof/>
        </w:rPr>
        <w:t>2.2.</w:t>
      </w:r>
      <w:r w:rsidRPr="00447796">
        <w:rPr>
          <w:noProof/>
        </w:rPr>
        <w:tab/>
      </w:r>
      <w:r w:rsidRPr="00701E4D">
        <w:rPr>
          <w:noProof/>
        </w:rPr>
        <w:t>Uveďte trvanie schémy</w:t>
      </w:r>
      <w:r w:rsidRPr="00701E4D">
        <w:rPr>
          <w:rStyle w:val="Odkaznapoznmkupodiarou"/>
          <w:noProof/>
        </w:rPr>
        <w:footnoteReference w:id="1"/>
      </w:r>
      <w:r w:rsidRPr="00701E4D">
        <w:rPr>
          <w:noProof/>
        </w:rPr>
        <w:t>:</w:t>
      </w:r>
    </w:p>
    <w:p w14:paraId="5536AF35" w14:textId="77777777" w:rsidR="007D4BDB" w:rsidRPr="00701E4D" w:rsidRDefault="007D4BDB" w:rsidP="007D4BDB">
      <w:pPr>
        <w:tabs>
          <w:tab w:val="left" w:leader="dot" w:pos="9072"/>
        </w:tabs>
        <w:ind w:left="567"/>
        <w:rPr>
          <w:noProof/>
        </w:rPr>
      </w:pPr>
      <w:r w:rsidRPr="00701E4D">
        <w:rPr>
          <w:noProof/>
        </w:rPr>
        <w:tab/>
      </w:r>
    </w:p>
    <w:p w14:paraId="2DEC5D32" w14:textId="77777777" w:rsidR="007D4BDB" w:rsidRPr="00701E4D" w:rsidRDefault="007D4BDB" w:rsidP="007D4BDB">
      <w:pPr>
        <w:pStyle w:val="ManualNumPar1"/>
        <w:rPr>
          <w:rFonts w:cs="Arial Unicode MS"/>
          <w:bCs/>
          <w:noProof/>
        </w:rPr>
      </w:pPr>
      <w:r w:rsidRPr="00447796">
        <w:rPr>
          <w:noProof/>
        </w:rPr>
        <w:t>3.</w:t>
      </w:r>
      <w:r w:rsidRPr="00447796">
        <w:rPr>
          <w:noProof/>
        </w:rPr>
        <w:tab/>
      </w:r>
      <w:r w:rsidRPr="00701E4D">
        <w:rPr>
          <w:noProof/>
        </w:rPr>
        <w:t>Príjemca/Príjemcovia</w:t>
      </w:r>
      <w:r w:rsidRPr="00701E4D">
        <w:rPr>
          <w:noProof/>
        </w:rPr>
        <w:tab/>
      </w:r>
    </w:p>
    <w:p w14:paraId="5FC011F1" w14:textId="77777777" w:rsidR="007D4BDB" w:rsidRPr="00701E4D" w:rsidRDefault="007D4BDB" w:rsidP="007D4BDB">
      <w:pPr>
        <w:pStyle w:val="ManualNumPar2"/>
        <w:rPr>
          <w:noProof/>
        </w:rPr>
      </w:pPr>
      <w:r w:rsidRPr="00447796">
        <w:rPr>
          <w:noProof/>
        </w:rPr>
        <w:t>3.1.</w:t>
      </w:r>
      <w:r w:rsidRPr="00447796">
        <w:rPr>
          <w:noProof/>
        </w:rPr>
        <w:tab/>
      </w:r>
      <w:r w:rsidRPr="00701E4D">
        <w:rPr>
          <w:noProof/>
        </w:rPr>
        <w:t>Ak ste tak ešte nespravili v oddiele 3 formulára všeobecných informácií (časť I), opíšte (potenciálneho) príjemcu/(potenciálnych) príjemcov opatrenia/opatrení:</w:t>
      </w:r>
    </w:p>
    <w:p w14:paraId="667D2F07" w14:textId="77777777" w:rsidR="007D4BDB" w:rsidRPr="00701E4D" w:rsidRDefault="007D4BDB" w:rsidP="007D4BDB">
      <w:pPr>
        <w:tabs>
          <w:tab w:val="left" w:leader="dot" w:pos="9072"/>
        </w:tabs>
        <w:ind w:left="567"/>
        <w:rPr>
          <w:noProof/>
        </w:rPr>
      </w:pPr>
      <w:r w:rsidRPr="00701E4D">
        <w:rPr>
          <w:noProof/>
        </w:rPr>
        <w:tab/>
      </w:r>
    </w:p>
    <w:p w14:paraId="6B820FA2" w14:textId="77777777" w:rsidR="007D4BDB" w:rsidRPr="00701E4D" w:rsidRDefault="007D4BDB" w:rsidP="007D4BDB">
      <w:pPr>
        <w:pStyle w:val="ManualNumPar2"/>
        <w:rPr>
          <w:noProof/>
        </w:rPr>
      </w:pPr>
      <w:r w:rsidRPr="00447796">
        <w:rPr>
          <w:noProof/>
        </w:rPr>
        <w:t>3.2.</w:t>
      </w:r>
      <w:r w:rsidRPr="00447796">
        <w:rPr>
          <w:noProof/>
        </w:rPr>
        <w:tab/>
      </w:r>
      <w:r w:rsidRPr="00701E4D">
        <w:rPr>
          <w:noProof/>
        </w:rPr>
        <w:t>Uveďte umiestnenie (potenciálneho) príjemcu/(potenciálnych) príjemcov (t. j. či sa na opatrení môžu zúčastňovať len hospodárske subjekty nachádzajúce sa v príslušných členských štátoch alebo aj tie, ktoré sa nachádzajú v iných členských štátoch):</w:t>
      </w:r>
    </w:p>
    <w:p w14:paraId="779EAFDC" w14:textId="77777777" w:rsidR="007D4BDB" w:rsidRPr="00701E4D" w:rsidRDefault="007D4BDB" w:rsidP="007D4BDB">
      <w:pPr>
        <w:tabs>
          <w:tab w:val="left" w:leader="dot" w:pos="9072"/>
        </w:tabs>
        <w:ind w:left="567"/>
        <w:rPr>
          <w:noProof/>
        </w:rPr>
      </w:pPr>
      <w:r w:rsidRPr="00701E4D">
        <w:rPr>
          <w:noProof/>
        </w:rPr>
        <w:lastRenderedPageBreak/>
        <w:tab/>
      </w:r>
    </w:p>
    <w:p w14:paraId="1DCD8E6C" w14:textId="77777777" w:rsidR="007D4BDB" w:rsidRPr="00701E4D" w:rsidRDefault="007D4BDB" w:rsidP="007D4BDB">
      <w:pPr>
        <w:pStyle w:val="ManualNumPar2"/>
        <w:rPr>
          <w:noProof/>
        </w:rPr>
      </w:pPr>
      <w:r w:rsidRPr="00447796">
        <w:rPr>
          <w:noProof/>
        </w:rPr>
        <w:t>3.3.</w:t>
      </w:r>
      <w:r w:rsidRPr="00447796">
        <w:rPr>
          <w:noProof/>
        </w:rPr>
        <w:tab/>
      </w:r>
      <w:r w:rsidRPr="00701E4D">
        <w:rPr>
          <w:noProof/>
        </w:rPr>
        <w:t xml:space="preserve">Na posúdenie súladu s bodom 15 CEEAG uveďte, či sa pomoc poskytuje v rámci opatrenia/opatrení v prospech podniku (jednotlivého alebo v rámci schémy), voči ktorému je nárokované vrátenie pomoci na základe predchádzajúceho rozhodnutia Komisie, ktorým bola pomoc vyhlásená za neoprávnenú a nezlučiteľnú s vnútorným trhom. </w:t>
      </w:r>
    </w:p>
    <w:p w14:paraId="71DD96AE" w14:textId="77777777" w:rsidR="007D4BDB" w:rsidRPr="00701E4D" w:rsidRDefault="007D4BDB" w:rsidP="007D4BDB">
      <w:pPr>
        <w:pStyle w:val="Text1"/>
        <w:rPr>
          <w:noProof/>
        </w:rPr>
      </w:pPr>
      <w:r w:rsidRPr="00701E4D">
        <w:rPr>
          <w:noProof/>
        </w:rPr>
        <w:t>V prípade kladnej odpovede uveďte informácie o výške pomoci, ktorá sa ešte má vrátiť, aby ju Komisia mohla zohľadniť pri posúdení opatrenia/opatrení pomoci:</w:t>
      </w:r>
    </w:p>
    <w:p w14:paraId="5CEA7C0F" w14:textId="77777777" w:rsidR="007D4BDB" w:rsidRPr="00701E4D" w:rsidRDefault="007D4BDB" w:rsidP="007D4BDB">
      <w:pPr>
        <w:tabs>
          <w:tab w:val="left" w:leader="dot" w:pos="9072"/>
        </w:tabs>
        <w:ind w:left="567"/>
        <w:rPr>
          <w:noProof/>
        </w:rPr>
      </w:pPr>
      <w:r w:rsidRPr="00701E4D">
        <w:rPr>
          <w:noProof/>
        </w:rPr>
        <w:tab/>
      </w:r>
    </w:p>
    <w:p w14:paraId="2AA62630" w14:textId="77777777" w:rsidR="007D4BDB" w:rsidRPr="00701E4D" w:rsidRDefault="007D4BDB" w:rsidP="007D4BDB">
      <w:pPr>
        <w:pStyle w:val="ManualNumPar1"/>
        <w:rPr>
          <w:noProof/>
        </w:rPr>
      </w:pPr>
      <w:r w:rsidRPr="00447796">
        <w:rPr>
          <w:noProof/>
        </w:rPr>
        <w:t>4.</w:t>
      </w:r>
      <w:r w:rsidRPr="00447796">
        <w:rPr>
          <w:noProof/>
        </w:rPr>
        <w:tab/>
      </w:r>
      <w:r w:rsidRPr="00701E4D">
        <w:rPr>
          <w:noProof/>
        </w:rPr>
        <w:t>Potvrďte, že opatrenie nezahŕňa/opatrenia nezahŕňajú pomoc na činnosti, ktoré nepatria do rozsahu pôsobnosti CEEAG (pozri bod 13 CEEAG). V opačnom prípade uveďte podrobné informácie:</w:t>
      </w:r>
    </w:p>
    <w:p w14:paraId="4313D801" w14:textId="77777777" w:rsidR="007D4BDB" w:rsidRPr="00701E4D" w:rsidRDefault="007D4BDB" w:rsidP="007D4BDB">
      <w:pPr>
        <w:tabs>
          <w:tab w:val="left" w:leader="dot" w:pos="9072"/>
        </w:tabs>
        <w:ind w:left="567"/>
        <w:rPr>
          <w:noProof/>
        </w:rPr>
      </w:pPr>
      <w:r w:rsidRPr="00701E4D">
        <w:rPr>
          <w:noProof/>
        </w:rPr>
        <w:tab/>
      </w:r>
    </w:p>
    <w:p w14:paraId="6B526CA9" w14:textId="77777777" w:rsidR="007D4BDB" w:rsidRPr="00701E4D" w:rsidRDefault="007D4BDB" w:rsidP="007D4BDB">
      <w:pPr>
        <w:pStyle w:val="ManualNumPar1"/>
        <w:rPr>
          <w:rFonts w:cs="Arial Unicode MS"/>
          <w:noProof/>
        </w:rPr>
      </w:pPr>
      <w:r w:rsidRPr="00447796">
        <w:rPr>
          <w:noProof/>
        </w:rPr>
        <w:t>5.</w:t>
      </w:r>
      <w:r w:rsidRPr="00447796">
        <w:rPr>
          <w:noProof/>
        </w:rPr>
        <w:tab/>
      </w:r>
      <w:r w:rsidRPr="00701E4D">
        <w:rPr>
          <w:noProof/>
        </w:rPr>
        <w:t>Rozpočet a financovanie opatrenia/opatrení</w:t>
      </w:r>
    </w:p>
    <w:p w14:paraId="541F887A" w14:textId="77777777" w:rsidR="007D4BDB" w:rsidRPr="00701E4D" w:rsidRDefault="007D4BDB" w:rsidP="007D4BDB">
      <w:pPr>
        <w:pStyle w:val="ManualNumPar2"/>
        <w:rPr>
          <w:noProof/>
        </w:rPr>
      </w:pPr>
      <w:r w:rsidRPr="00447796">
        <w:rPr>
          <w:noProof/>
        </w:rPr>
        <w:t>5.1.</w:t>
      </w:r>
      <w:r w:rsidRPr="00447796">
        <w:rPr>
          <w:noProof/>
        </w:rPr>
        <w:tab/>
      </w:r>
      <w:r w:rsidRPr="00701E4D">
        <w:rPr>
          <w:noProof/>
        </w:rPr>
        <w:t>Uveďte ročný a/alebo celkový rozpočet na celé obdobie trvania opatrenia/opatrení, ak ešte nie je uvedený v tabuľke v oddiele 7.1 formulára všeobecných informácií (časť I); ak celkový rozpočet nie je známy (napríklad preto, lebo závisí od výsledkov verejných súťaží), uveďte odhadovaný rozpočet vrátane predpokladov použitých na výpočet príslušného odhadovaného rozpočtu</w:t>
      </w:r>
      <w:r w:rsidRPr="00701E4D">
        <w:rPr>
          <w:rStyle w:val="Odkaznapoznmkupodiarou"/>
          <w:noProof/>
        </w:rPr>
        <w:footnoteReference w:id="2"/>
      </w:r>
      <w:r w:rsidRPr="00701E4D">
        <w:rPr>
          <w:noProof/>
        </w:rPr>
        <w:t>:</w:t>
      </w:r>
    </w:p>
    <w:p w14:paraId="58C39E8A" w14:textId="77777777" w:rsidR="007D4BDB" w:rsidRPr="00701E4D" w:rsidRDefault="007D4BDB" w:rsidP="007D4BDB">
      <w:pPr>
        <w:tabs>
          <w:tab w:val="left" w:leader="dot" w:pos="9072"/>
        </w:tabs>
        <w:ind w:left="567"/>
        <w:rPr>
          <w:noProof/>
        </w:rPr>
      </w:pPr>
      <w:r w:rsidRPr="00701E4D">
        <w:rPr>
          <w:noProof/>
        </w:rPr>
        <w:tab/>
      </w:r>
    </w:p>
    <w:p w14:paraId="63A5F563" w14:textId="77777777" w:rsidR="007D4BDB" w:rsidRPr="00701E4D" w:rsidRDefault="007D4BDB" w:rsidP="007D4BDB">
      <w:pPr>
        <w:pStyle w:val="ManualNumPar2"/>
        <w:rPr>
          <w:noProof/>
        </w:rPr>
      </w:pPr>
      <w:r w:rsidRPr="00447796">
        <w:rPr>
          <w:noProof/>
        </w:rPr>
        <w:t>5.2.</w:t>
      </w:r>
      <w:r w:rsidRPr="00447796">
        <w:rPr>
          <w:noProof/>
        </w:rPr>
        <w:tab/>
      </w:r>
      <w:r w:rsidRPr="00701E4D">
        <w:rPr>
          <w:noProof/>
        </w:rPr>
        <w:t>Ak sa opatrenie financuje prostredníctvom poplatku, objasnite, či:</w:t>
      </w:r>
    </w:p>
    <w:p w14:paraId="70C3CE53" w14:textId="77777777" w:rsidR="007D4BDB" w:rsidRPr="00701E4D" w:rsidRDefault="007D4BDB" w:rsidP="007D4BDB">
      <w:pPr>
        <w:pStyle w:val="Point1"/>
        <w:rPr>
          <w:rFonts w:cs="Arial Unicode MS"/>
          <w:bCs/>
          <w:noProof/>
        </w:rPr>
      </w:pPr>
      <w:r w:rsidRPr="00701E4D">
        <w:rPr>
          <w:noProof/>
        </w:rPr>
        <w:t>a)</w:t>
      </w:r>
      <w:r w:rsidRPr="00701E4D">
        <w:rPr>
          <w:noProof/>
        </w:rPr>
        <w:tab/>
        <w:t>je poplatok stanovený zákonom alebo iným legislatívnym aktom; v prípade kladnej odpovede uveďte právny akt, číslo a dátum jeho prijatia a nadobudnutia účinnosti, internetový odkaz na právny akt:</w:t>
      </w:r>
    </w:p>
    <w:p w14:paraId="22CF2D8E" w14:textId="77777777" w:rsidR="007D4BDB" w:rsidRPr="00701E4D" w:rsidRDefault="007D4BDB" w:rsidP="007D4BDB">
      <w:pPr>
        <w:tabs>
          <w:tab w:val="left" w:leader="dot" w:pos="9072"/>
        </w:tabs>
        <w:ind w:left="567"/>
        <w:rPr>
          <w:noProof/>
        </w:rPr>
      </w:pPr>
      <w:r w:rsidRPr="00701E4D">
        <w:rPr>
          <w:noProof/>
        </w:rPr>
        <w:tab/>
      </w:r>
    </w:p>
    <w:p w14:paraId="01136D8B" w14:textId="77777777" w:rsidR="007D4BDB" w:rsidRPr="00701E4D" w:rsidRDefault="007D4BDB" w:rsidP="007D4BDB">
      <w:pPr>
        <w:pStyle w:val="Point1"/>
        <w:rPr>
          <w:rFonts w:cs="Arial Unicode MS"/>
          <w:bCs/>
          <w:noProof/>
        </w:rPr>
      </w:pPr>
      <w:r w:rsidRPr="00701E4D">
        <w:rPr>
          <w:noProof/>
        </w:rPr>
        <w:t>b)</w:t>
      </w:r>
      <w:r w:rsidRPr="00701E4D">
        <w:rPr>
          <w:noProof/>
        </w:rPr>
        <w:tab/>
        <w:t>sa poplatok ukladá rovnako na domáce aj dovážané výrobky:</w:t>
      </w:r>
    </w:p>
    <w:p w14:paraId="615E0F83" w14:textId="77777777" w:rsidR="007D4BDB" w:rsidRPr="00701E4D" w:rsidRDefault="007D4BDB" w:rsidP="007D4BDB">
      <w:pPr>
        <w:tabs>
          <w:tab w:val="left" w:leader="dot" w:pos="9072"/>
        </w:tabs>
        <w:ind w:left="567"/>
        <w:rPr>
          <w:noProof/>
        </w:rPr>
      </w:pPr>
      <w:r w:rsidRPr="00701E4D">
        <w:rPr>
          <w:noProof/>
        </w:rPr>
        <w:tab/>
      </w:r>
    </w:p>
    <w:p w14:paraId="70860043" w14:textId="77777777" w:rsidR="007D4BDB" w:rsidRPr="00701E4D" w:rsidRDefault="007D4BDB" w:rsidP="007D4BDB">
      <w:pPr>
        <w:pStyle w:val="Point1"/>
        <w:rPr>
          <w:rFonts w:cs="Arial Unicode MS"/>
          <w:bCs/>
          <w:noProof/>
        </w:rPr>
      </w:pPr>
      <w:r w:rsidRPr="00701E4D">
        <w:rPr>
          <w:noProof/>
        </w:rPr>
        <w:t>c)</w:t>
      </w:r>
      <w:r w:rsidRPr="00701E4D">
        <w:rPr>
          <w:noProof/>
        </w:rPr>
        <w:tab/>
        <w:t>notifikované opatrenie bude rovnako prínosné pre domáce aj dovážané výrobky:</w:t>
      </w:r>
    </w:p>
    <w:p w14:paraId="5FC4F051" w14:textId="77777777" w:rsidR="007D4BDB" w:rsidRPr="00701E4D" w:rsidRDefault="007D4BDB" w:rsidP="007D4BDB">
      <w:pPr>
        <w:tabs>
          <w:tab w:val="left" w:leader="dot" w:pos="9072"/>
        </w:tabs>
        <w:ind w:left="567"/>
        <w:rPr>
          <w:noProof/>
        </w:rPr>
      </w:pPr>
      <w:r w:rsidRPr="00701E4D">
        <w:rPr>
          <w:noProof/>
        </w:rPr>
        <w:tab/>
      </w:r>
    </w:p>
    <w:p w14:paraId="21443582" w14:textId="77777777" w:rsidR="007D4BDB" w:rsidRPr="00701E4D" w:rsidRDefault="007D4BDB" w:rsidP="007D4BDB">
      <w:pPr>
        <w:pStyle w:val="Point1"/>
        <w:rPr>
          <w:rFonts w:cs="Arial Unicode MS"/>
          <w:bCs/>
          <w:noProof/>
        </w:rPr>
      </w:pPr>
      <w:r w:rsidRPr="00701E4D">
        <w:rPr>
          <w:noProof/>
        </w:rPr>
        <w:t>d)</w:t>
      </w:r>
      <w:r w:rsidRPr="00701E4D">
        <w:rPr>
          <w:noProof/>
        </w:rPr>
        <w:tab/>
        <w:t>sa z poplatku financuje príslušné opatrenie v plnej výške alebo len čiastočne. Ak sa z poplatku financuje príslušné opatrenie len čiastočne, uveďte ostatné zdroje financovania opatrenia a ich príslušný podiel:</w:t>
      </w:r>
    </w:p>
    <w:p w14:paraId="50C58D26" w14:textId="77777777" w:rsidR="007D4BDB" w:rsidRPr="00701E4D" w:rsidRDefault="007D4BDB" w:rsidP="007D4BDB">
      <w:pPr>
        <w:tabs>
          <w:tab w:val="left" w:leader="dot" w:pos="9072"/>
        </w:tabs>
        <w:ind w:left="567"/>
        <w:rPr>
          <w:noProof/>
        </w:rPr>
      </w:pPr>
      <w:r w:rsidRPr="00701E4D">
        <w:rPr>
          <w:noProof/>
        </w:rPr>
        <w:tab/>
      </w:r>
    </w:p>
    <w:p w14:paraId="45C4CB3D" w14:textId="77777777" w:rsidR="007D4BDB" w:rsidRPr="00701E4D" w:rsidRDefault="007D4BDB" w:rsidP="007D4BDB">
      <w:pPr>
        <w:pStyle w:val="Point1"/>
        <w:rPr>
          <w:rFonts w:cs="Arial Unicode MS"/>
          <w:bCs/>
          <w:noProof/>
        </w:rPr>
      </w:pPr>
      <w:r w:rsidRPr="00701E4D">
        <w:rPr>
          <w:noProof/>
        </w:rPr>
        <w:t>e)</w:t>
      </w:r>
      <w:r w:rsidRPr="00701E4D">
        <w:rPr>
          <w:noProof/>
        </w:rPr>
        <w:tab/>
        <w:t>sa z poplatku, z ktorého sa financuje notifikované opatrenie, financujú aj iné opatrenia pomoci. Ak áno, uveďte ostatné opatrenia pomoci financované z príslušného poplatku:</w:t>
      </w:r>
    </w:p>
    <w:p w14:paraId="29B5B43C" w14:textId="77777777" w:rsidR="007D4BDB" w:rsidRPr="00701E4D" w:rsidRDefault="007D4BDB" w:rsidP="007D4BDB">
      <w:pPr>
        <w:tabs>
          <w:tab w:val="left" w:leader="dot" w:pos="9072"/>
        </w:tabs>
        <w:ind w:left="567"/>
        <w:rPr>
          <w:noProof/>
        </w:rPr>
      </w:pPr>
      <w:bookmarkStart w:id="0" w:name="_Hlk163737291"/>
      <w:r w:rsidRPr="00701E4D">
        <w:rPr>
          <w:noProof/>
        </w:rPr>
        <w:tab/>
      </w:r>
      <w:bookmarkEnd w:id="0"/>
    </w:p>
    <w:p w14:paraId="3AD029CE" w14:textId="77777777" w:rsidR="007D4BDB" w:rsidRPr="003D04A8" w:rsidRDefault="007D4BDB" w:rsidP="007D4BDB">
      <w:pPr>
        <w:pStyle w:val="ManualHeading2"/>
        <w:rPr>
          <w:noProof/>
        </w:rPr>
      </w:pPr>
      <w:r w:rsidRPr="003D04A8">
        <w:rPr>
          <w:noProof/>
        </w:rPr>
        <w:lastRenderedPageBreak/>
        <w:t>Oddiel B: Posúdenie zlučiteľnosti pomoci</w:t>
      </w:r>
    </w:p>
    <w:p w14:paraId="5EE08CAA" w14:textId="77777777" w:rsidR="007D4BDB" w:rsidRPr="003D04A8" w:rsidRDefault="007D4BDB" w:rsidP="007D4BDB">
      <w:pPr>
        <w:pStyle w:val="ManualHeading1"/>
        <w:rPr>
          <w:noProof/>
        </w:rPr>
      </w:pPr>
      <w:r w:rsidRPr="00447796">
        <w:rPr>
          <w:noProof/>
        </w:rPr>
        <w:t>1.</w:t>
      </w:r>
      <w:r w:rsidRPr="00447796">
        <w:rPr>
          <w:noProof/>
        </w:rPr>
        <w:tab/>
      </w:r>
      <w:r w:rsidRPr="003D04A8">
        <w:rPr>
          <w:noProof/>
        </w:rPr>
        <w:t>Pozitívna podmienka: pomoc musí uľahčovať rozvoj hospodárskej činnosti</w:t>
      </w:r>
    </w:p>
    <w:p w14:paraId="678144E0" w14:textId="77777777" w:rsidR="007D4BDB" w:rsidRPr="003D04A8" w:rsidRDefault="007D4BDB" w:rsidP="007D4BDB">
      <w:pPr>
        <w:pStyle w:val="ManualHeading2"/>
        <w:rPr>
          <w:noProof/>
        </w:rPr>
      </w:pPr>
      <w:r w:rsidRPr="00447796">
        <w:rPr>
          <w:noProof/>
        </w:rPr>
        <w:t>1.1.</w:t>
      </w:r>
      <w:r w:rsidRPr="00447796">
        <w:rPr>
          <w:noProof/>
        </w:rPr>
        <w:tab/>
      </w:r>
      <w:r w:rsidRPr="003D04A8">
        <w:rPr>
          <w:noProof/>
        </w:rPr>
        <w:t>Prispievanie k rozvoju hospodárskej činnosti</w:t>
      </w:r>
    </w:p>
    <w:p w14:paraId="653C2D86" w14:textId="77777777" w:rsidR="007D4BDB" w:rsidRPr="003D04A8" w:rsidRDefault="007D4BDB" w:rsidP="007D4BDB">
      <w:pPr>
        <w:spacing w:before="360"/>
        <w:rPr>
          <w:i/>
          <w:noProof/>
        </w:rPr>
      </w:pPr>
      <w:r w:rsidRPr="003D04A8">
        <w:rPr>
          <w:i/>
          <w:noProof/>
        </w:rPr>
        <w:t xml:space="preserve">Pri vypĺňaní tohto oddielu postupujte podľa informácií v oddiele 3.1.1 (body 23 – 25) a v oddieloch 4.10.1 a 4.10.2 (body 383 – 390) CEEAG. </w:t>
      </w:r>
    </w:p>
    <w:p w14:paraId="50AB59F3" w14:textId="77777777" w:rsidR="007D4BDB" w:rsidRPr="00701E4D" w:rsidRDefault="007D4BDB" w:rsidP="007D4BDB">
      <w:pPr>
        <w:pStyle w:val="ManualNumPar1"/>
        <w:rPr>
          <w:noProof/>
        </w:rPr>
      </w:pPr>
      <w:r w:rsidRPr="00447796">
        <w:rPr>
          <w:noProof/>
        </w:rPr>
        <w:t>6.</w:t>
      </w:r>
      <w:r w:rsidRPr="00447796">
        <w:rPr>
          <w:noProof/>
        </w:rPr>
        <w:tab/>
      </w:r>
      <w:r w:rsidRPr="00701E4D">
        <w:rPr>
          <w:noProof/>
        </w:rPr>
        <w:t xml:space="preserve">V článku 107 ods. 3 písm. c) Zmluvy o fungovaní Európskej únie (ďalej len „zmluva“) sa stanovuje, že Komisia môže za zlučiteľnú vyhlásiť „pomoc na rozvoj určitých hospodárskych činností alebo určitých hospodárskych oblastí, za predpokladu, že táto podpora nepriaznivo neovplyvní podmienky obchodu tak, že by to bolo v rozpore so spoločným záujmom“. Zlučiteľná pomoc preto podľa uvedeného ustanovenia zmluvy musí prispievať k rozvoju určitej hospodárskej činnosti. </w:t>
      </w:r>
    </w:p>
    <w:p w14:paraId="58A6AB2C" w14:textId="77777777" w:rsidR="007D4BDB" w:rsidRPr="00701E4D" w:rsidRDefault="007D4BDB" w:rsidP="007D4BDB">
      <w:pPr>
        <w:pStyle w:val="Text1"/>
        <w:rPr>
          <w:noProof/>
        </w:rPr>
      </w:pPr>
      <w:r w:rsidRPr="00701E4D">
        <w:rPr>
          <w:noProof/>
        </w:rPr>
        <w:t>Na posúdenie súladu s bodom 23 CEEAG uveďte, aké hospodárske činnosti sa v dôsledku pomoci uľahčia a ako sa podporí rozvoj týchto činností:</w:t>
      </w:r>
    </w:p>
    <w:p w14:paraId="0D01A668" w14:textId="77777777" w:rsidR="007D4BDB" w:rsidRPr="00701E4D" w:rsidRDefault="007D4BDB" w:rsidP="007D4BDB">
      <w:pPr>
        <w:tabs>
          <w:tab w:val="left" w:leader="dot" w:pos="9072"/>
        </w:tabs>
        <w:ind w:left="567"/>
        <w:rPr>
          <w:noProof/>
        </w:rPr>
      </w:pPr>
      <w:r w:rsidRPr="00701E4D">
        <w:rPr>
          <w:noProof/>
        </w:rPr>
        <w:tab/>
      </w:r>
    </w:p>
    <w:p w14:paraId="13599B15" w14:textId="77777777" w:rsidR="007D4BDB" w:rsidRPr="00701E4D" w:rsidRDefault="007D4BDB" w:rsidP="007D4BDB">
      <w:pPr>
        <w:pStyle w:val="ManualNumPar1"/>
        <w:rPr>
          <w:noProof/>
        </w:rPr>
      </w:pPr>
      <w:r w:rsidRPr="00447796">
        <w:rPr>
          <w:noProof/>
        </w:rPr>
        <w:t>7.</w:t>
      </w:r>
      <w:r w:rsidRPr="00447796">
        <w:rPr>
          <w:noProof/>
        </w:rPr>
        <w:tab/>
      </w:r>
      <w:r w:rsidRPr="00701E4D">
        <w:rPr>
          <w:noProof/>
        </w:rPr>
        <w:t>Na posúdenie súladu s bodom 25 CEEAG „</w:t>
      </w:r>
      <w:r w:rsidRPr="003D04A8">
        <w:rPr>
          <w:noProof/>
        </w:rPr>
        <w:t>[opíšte], či a ako pomoc prispeje k dosahovaniu cieľov politiky Únie v oblasti klímy, životného prostredia a energetiky, a konkrétnejšie aj očakávané prínosy pomoci, pokiaľ ide o jej významný prínos k ochrane životného prostredia vrátane zmiernenia zmeny klímy alebo efektívne fungovanie vnútorného trhu s energiou</w:t>
      </w:r>
      <w:r w:rsidRPr="00701E4D">
        <w:rPr>
          <w:noProof/>
        </w:rPr>
        <w:t>“:</w:t>
      </w:r>
    </w:p>
    <w:p w14:paraId="6F9F2A0D" w14:textId="77777777" w:rsidR="007D4BDB" w:rsidRPr="00701E4D" w:rsidRDefault="007D4BDB" w:rsidP="007D4BDB">
      <w:pPr>
        <w:tabs>
          <w:tab w:val="left" w:leader="dot" w:pos="9072"/>
        </w:tabs>
        <w:ind w:left="567"/>
        <w:rPr>
          <w:noProof/>
        </w:rPr>
      </w:pPr>
      <w:r w:rsidRPr="00701E4D">
        <w:rPr>
          <w:noProof/>
        </w:rPr>
        <w:tab/>
      </w:r>
    </w:p>
    <w:p w14:paraId="481D221E" w14:textId="77777777" w:rsidR="007D4BDB" w:rsidRPr="00701E4D" w:rsidRDefault="007D4BDB" w:rsidP="007D4BDB">
      <w:pPr>
        <w:pStyle w:val="ManualNumPar1"/>
        <w:rPr>
          <w:noProof/>
        </w:rPr>
      </w:pPr>
      <w:r w:rsidRPr="00447796">
        <w:rPr>
          <w:noProof/>
        </w:rPr>
        <w:t>8.</w:t>
      </w:r>
      <w:r w:rsidRPr="00447796">
        <w:rPr>
          <w:noProof/>
        </w:rPr>
        <w:tab/>
      </w:r>
      <w:r w:rsidRPr="00701E4D">
        <w:rPr>
          <w:noProof/>
        </w:rPr>
        <w:t>Okrem toho zdôraznite, do akej miery sa pomoc týka politík opísaných v bodoch 383 a 384 CEEAG. Pritom zároveň objasnite, či projekt podporuje energiu z obnoviteľných zdrojov v súlade s článkom 2 ods. 1 smernice (EÚ) 2018/2001. Konkrétne potvrďte, či opatrenie prispieva k rozvoju systémov účinného centralizovaného zásobovania teplom a chladom v zmysle článku 26 smernice (EÚ) 2023/1791 s cieľom podporiť výrobu tepla a chladu z obnoviteľných zdrojov energie:</w:t>
      </w:r>
    </w:p>
    <w:p w14:paraId="20B2BA3C" w14:textId="77777777" w:rsidR="007D4BDB" w:rsidRPr="00701E4D" w:rsidRDefault="007D4BDB" w:rsidP="007D4BDB">
      <w:pPr>
        <w:tabs>
          <w:tab w:val="left" w:leader="dot" w:pos="9072"/>
        </w:tabs>
        <w:ind w:left="567"/>
        <w:rPr>
          <w:noProof/>
        </w:rPr>
      </w:pPr>
      <w:r w:rsidRPr="00701E4D">
        <w:rPr>
          <w:noProof/>
        </w:rPr>
        <w:tab/>
      </w:r>
    </w:p>
    <w:p w14:paraId="039F4167" w14:textId="77777777" w:rsidR="007D4BDB" w:rsidRPr="00701E4D" w:rsidRDefault="007D4BDB" w:rsidP="007D4BDB">
      <w:pPr>
        <w:pStyle w:val="ManualNumPar1"/>
        <w:rPr>
          <w:noProof/>
        </w:rPr>
      </w:pPr>
      <w:r w:rsidRPr="00447796">
        <w:rPr>
          <w:noProof/>
        </w:rPr>
        <w:t>9.</w:t>
      </w:r>
      <w:r w:rsidRPr="00447796">
        <w:rPr>
          <w:noProof/>
        </w:rPr>
        <w:tab/>
      </w:r>
      <w:r w:rsidRPr="00701E4D">
        <w:rPr>
          <w:noProof/>
        </w:rPr>
        <w:t xml:space="preserve">V bodoch 385 a 386 CEEAG sa stanovuje, že podporu, ktorá sa obmedzuje na distribučné sústavy centralizovaného zásobovania teplom, možno za určitých okolností považovať za pomoc, ktorá je vyňatá z rámca kontroly štátnej pomoci. </w:t>
      </w:r>
    </w:p>
    <w:p w14:paraId="0F9CC957" w14:textId="77777777" w:rsidR="007D4BDB" w:rsidRPr="00701E4D" w:rsidRDefault="007D4BDB" w:rsidP="007D4BDB">
      <w:pPr>
        <w:pStyle w:val="Point1"/>
        <w:rPr>
          <w:noProof/>
        </w:rPr>
      </w:pPr>
      <w:r w:rsidRPr="00701E4D">
        <w:rPr>
          <w:noProof/>
        </w:rPr>
        <w:t>a)</w:t>
      </w:r>
      <w:r w:rsidRPr="00701E4D">
        <w:rPr>
          <w:noProof/>
        </w:rPr>
        <w:tab/>
        <w:t>Podporuje opatrenie distribučné sústavy centralizovaného zásobovania teplom, na ktoré sa bude vzťahovať prístup tretích strán, oddelenie (t. j. oddelenie výroby a distribúcie tepla/chladu) a regulované tarify?</w:t>
      </w:r>
    </w:p>
    <w:p w14:paraId="0CE4B592" w14:textId="77777777" w:rsidR="007D4BDB" w:rsidRPr="00701E4D" w:rsidRDefault="007D4BDB" w:rsidP="007D4BDB">
      <w:pPr>
        <w:pStyle w:val="Point1"/>
        <w:rPr>
          <w:noProof/>
        </w:rPr>
      </w:pPr>
      <w:r w:rsidRPr="00701E4D">
        <w:rPr>
          <w:noProof/>
        </w:rPr>
        <w:t>b)</w:t>
      </w:r>
      <w:r w:rsidRPr="00701E4D">
        <w:rPr>
          <w:noProof/>
        </w:rPr>
        <w:tab/>
        <w:t>Ak je odpoveď na otázku uvedenú v písmene a) kladná, vysvetlite, či bude distribučná sústava prevádzkovaná na základe zákonného a/alebo prirodzeného monopolu, s odkazom na kritériá stanovené v bodoch 374 a 375 CEEAG:</w:t>
      </w:r>
    </w:p>
    <w:p w14:paraId="3D1666E6" w14:textId="77777777" w:rsidR="007D4BDB" w:rsidRPr="00701E4D" w:rsidRDefault="007D4BDB" w:rsidP="007D4BDB">
      <w:pPr>
        <w:tabs>
          <w:tab w:val="left" w:leader="dot" w:pos="9072"/>
        </w:tabs>
        <w:ind w:left="567"/>
        <w:rPr>
          <w:noProof/>
        </w:rPr>
      </w:pPr>
      <w:r w:rsidRPr="00701E4D">
        <w:rPr>
          <w:noProof/>
        </w:rPr>
        <w:tab/>
      </w:r>
    </w:p>
    <w:p w14:paraId="1F765CA0" w14:textId="77777777" w:rsidR="007D4BDB" w:rsidRPr="00701E4D" w:rsidRDefault="007D4BDB" w:rsidP="007D4BDB">
      <w:pPr>
        <w:pStyle w:val="ManualNumPar1"/>
        <w:rPr>
          <w:noProof/>
        </w:rPr>
      </w:pPr>
      <w:r w:rsidRPr="00447796">
        <w:rPr>
          <w:noProof/>
        </w:rPr>
        <w:t>10.</w:t>
      </w:r>
      <w:r w:rsidRPr="00447796">
        <w:rPr>
          <w:noProof/>
        </w:rPr>
        <w:tab/>
      </w:r>
      <w:r w:rsidRPr="00701E4D">
        <w:rPr>
          <w:noProof/>
        </w:rPr>
        <w:t xml:space="preserve">Uveďte informácie o rozsahu pôsobnosti a činnostiach, ktoré podporuje opatrenie/podporujú opatrenia pomoci, ako sa uvádzajú v oddiele 4.10.2 (body 388 – 389) CEEAG. Pri tejto príležitosti takisto: </w:t>
      </w:r>
    </w:p>
    <w:p w14:paraId="1ACC1C27" w14:textId="77777777" w:rsidR="007D4BDB" w:rsidRPr="00701E4D" w:rsidRDefault="007D4BDB" w:rsidP="007D4BDB">
      <w:pPr>
        <w:pStyle w:val="Point1"/>
        <w:rPr>
          <w:noProof/>
        </w:rPr>
      </w:pPr>
      <w:r w:rsidRPr="00701E4D">
        <w:rPr>
          <w:noProof/>
        </w:rPr>
        <w:lastRenderedPageBreak/>
        <w:t>a)</w:t>
      </w:r>
      <w:r w:rsidRPr="00701E4D">
        <w:rPr>
          <w:noProof/>
        </w:rPr>
        <w:tab/>
        <w:t xml:space="preserve">Vysvetlite, prečo projekt patrí do vymedzenia centralizovaného zásobovania teplom/chladom podľa bodu 19 podbodu 27 CEEAG a do vymedzenia systému diaľkového vykurovania a/alebo chladenia podľa bodu 19 podbodu 28 CEEAG. </w:t>
      </w:r>
    </w:p>
    <w:p w14:paraId="2360B639" w14:textId="77777777" w:rsidR="007D4BDB" w:rsidRPr="00701E4D" w:rsidRDefault="007D4BDB" w:rsidP="007D4BDB">
      <w:pPr>
        <w:pStyle w:val="Point1"/>
        <w:rPr>
          <w:noProof/>
        </w:rPr>
      </w:pPr>
      <w:r w:rsidRPr="00701E4D">
        <w:rPr>
          <w:noProof/>
        </w:rPr>
        <w:t>b)</w:t>
      </w:r>
      <w:r w:rsidRPr="00701E4D">
        <w:rPr>
          <w:noProof/>
        </w:rPr>
        <w:tab/>
        <w:t xml:space="preserve">Vysvetlite, či projekt podporuje výstavbu, modernizáciu alebo prevádzku: </w:t>
      </w:r>
    </w:p>
    <w:p w14:paraId="503B6912" w14:textId="77777777" w:rsidR="007D4BDB" w:rsidRPr="00701E4D" w:rsidRDefault="007D4BDB" w:rsidP="007D4BDB">
      <w:pPr>
        <w:pStyle w:val="Tiret1"/>
        <w:rPr>
          <w:noProof/>
        </w:rPr>
      </w:pPr>
      <w:r w:rsidRPr="00701E4D">
        <w:rPr>
          <w:noProof/>
        </w:rPr>
        <w:t xml:space="preserve">výrobnej jednotky a/alebo </w:t>
      </w:r>
    </w:p>
    <w:p w14:paraId="123AB281" w14:textId="77777777" w:rsidR="007D4BDB" w:rsidRPr="00701E4D" w:rsidRDefault="007D4BDB" w:rsidP="007D4BDB">
      <w:pPr>
        <w:pStyle w:val="Tiret1"/>
        <w:rPr>
          <w:noProof/>
        </w:rPr>
      </w:pPr>
      <w:r w:rsidRPr="00701E4D">
        <w:rPr>
          <w:noProof/>
        </w:rPr>
        <w:t xml:space="preserve">zariadenia na uskladňovanie a/alebo </w:t>
      </w:r>
    </w:p>
    <w:p w14:paraId="70DEC5F8" w14:textId="77777777" w:rsidR="007D4BDB" w:rsidRPr="00701E4D" w:rsidRDefault="007D4BDB" w:rsidP="007D4BDB">
      <w:pPr>
        <w:pStyle w:val="Tiret1"/>
        <w:rPr>
          <w:noProof/>
        </w:rPr>
      </w:pPr>
      <w:r w:rsidRPr="00701E4D">
        <w:rPr>
          <w:noProof/>
        </w:rPr>
        <w:t>distribučnej sústavy.</w:t>
      </w:r>
    </w:p>
    <w:p w14:paraId="2D5DA365" w14:textId="77777777" w:rsidR="007D4BDB" w:rsidRPr="00701E4D" w:rsidRDefault="007D4BDB" w:rsidP="007D4BDB">
      <w:pPr>
        <w:pStyle w:val="Point1"/>
        <w:rPr>
          <w:noProof/>
        </w:rPr>
      </w:pPr>
      <w:r w:rsidRPr="00701E4D">
        <w:rPr>
          <w:noProof/>
        </w:rPr>
        <w:t>c)</w:t>
      </w:r>
      <w:r w:rsidRPr="00701E4D">
        <w:rPr>
          <w:noProof/>
        </w:rPr>
        <w:tab/>
        <w:t>Ak sa podpora týka výrobnej jednotky, vysvetlite, aké zdroje táto výrobná jednotka používa na výrobu elektriny a centralizované zásobovanie teplom alebo chladom: energiu z obnoviteľných zdrojov, odpadové teplo alebo vysokoúčinnú kogeneráciu vrátane riešenia na uskladňovanie tepla.</w:t>
      </w:r>
    </w:p>
    <w:p w14:paraId="7C522D88" w14:textId="77777777" w:rsidR="007D4BDB" w:rsidRPr="00701E4D" w:rsidRDefault="007D4BDB" w:rsidP="007D4BDB">
      <w:pPr>
        <w:pStyle w:val="Point1"/>
        <w:rPr>
          <w:noProof/>
        </w:rPr>
      </w:pPr>
      <w:r w:rsidRPr="00701E4D">
        <w:rPr>
          <w:noProof/>
        </w:rPr>
        <w:t>d)</w:t>
      </w:r>
      <w:r w:rsidRPr="00701E4D">
        <w:rPr>
          <w:noProof/>
        </w:rPr>
        <w:tab/>
        <w:t xml:space="preserve">Ak sa podpora týka výrobnej jednotky využívajúcej odpad, potvrďte, že podpora sa obmedzuje buď na odpad, ktorý zodpovedá vymedzeniu obnoviteľných zdrojov energie, alebo na odpad slúžiaci ako palivo v zariadeniach, ktoré zodpovedajú vymedzeniu vysokoúčinnej kogenerácie. </w:t>
      </w:r>
    </w:p>
    <w:p w14:paraId="77A9C46C" w14:textId="77777777" w:rsidR="007D4BDB" w:rsidRPr="00701E4D" w:rsidRDefault="007D4BDB" w:rsidP="007D4BDB">
      <w:pPr>
        <w:pStyle w:val="Point1"/>
        <w:rPr>
          <w:noProof/>
        </w:rPr>
      </w:pPr>
      <w:r w:rsidRPr="00701E4D">
        <w:rPr>
          <w:noProof/>
        </w:rPr>
        <w:t>e)</w:t>
      </w:r>
      <w:r w:rsidRPr="00701E4D">
        <w:rPr>
          <w:noProof/>
        </w:rPr>
        <w:tab/>
        <w:t xml:space="preserve">Ak sa pomoc poskytuje na modernizáciu systému diaľkového vykurovania a chladenia, objasnite, či príslušný systém diaľkového vykurovania a chladenia spĺňa normu účinného centralizovaného zásobovania teplom a chladom v súlade s článkom 2 bodom 46 a článkom 26 smernice (EÚ) 2023/1791. </w:t>
      </w:r>
    </w:p>
    <w:p w14:paraId="46E1538D" w14:textId="77777777" w:rsidR="007D4BDB" w:rsidRPr="00701E4D" w:rsidRDefault="007D4BDB" w:rsidP="007D4BDB">
      <w:pPr>
        <w:pStyle w:val="Point1"/>
        <w:rPr>
          <w:noProof/>
        </w:rPr>
      </w:pPr>
      <w:r w:rsidRPr="00701E4D">
        <w:rPr>
          <w:noProof/>
        </w:rPr>
        <w:t>f)</w:t>
      </w:r>
      <w:r w:rsidRPr="00701E4D">
        <w:rPr>
          <w:noProof/>
        </w:rPr>
        <w:tab/>
        <w:t>Uveďte, aký druh nákladov sa bude z opatrenia podporovať: investičné a/alebo prevádzkové náklady:</w:t>
      </w:r>
    </w:p>
    <w:p w14:paraId="4D4F2CDA" w14:textId="77777777" w:rsidR="007D4BDB" w:rsidRPr="00701E4D" w:rsidRDefault="007D4BDB" w:rsidP="007D4BDB">
      <w:pPr>
        <w:tabs>
          <w:tab w:val="left" w:leader="dot" w:pos="9072"/>
        </w:tabs>
        <w:ind w:left="567"/>
        <w:rPr>
          <w:noProof/>
        </w:rPr>
      </w:pPr>
      <w:r w:rsidRPr="00701E4D">
        <w:rPr>
          <w:noProof/>
        </w:rPr>
        <w:tab/>
      </w:r>
    </w:p>
    <w:p w14:paraId="71787EDC" w14:textId="77777777" w:rsidR="007D4BDB" w:rsidRPr="00701E4D" w:rsidRDefault="007D4BDB" w:rsidP="007D4BDB">
      <w:pPr>
        <w:pStyle w:val="ManualNumPar1"/>
        <w:rPr>
          <w:noProof/>
        </w:rPr>
      </w:pPr>
      <w:r w:rsidRPr="00447796">
        <w:rPr>
          <w:noProof/>
        </w:rPr>
        <w:t>11.</w:t>
      </w:r>
      <w:r w:rsidRPr="00447796">
        <w:rPr>
          <w:noProof/>
        </w:rPr>
        <w:tab/>
      </w:r>
      <w:r w:rsidRPr="00701E4D">
        <w:rPr>
          <w:noProof/>
        </w:rPr>
        <w:t>Ak je pomoc zameraná na podporu modernizácie systému diaľkového vykurovania a chladenia, ktorá však nevedie k tomu, že systém v dôsledku podporovanej modernizácie spĺňa normu účinného centralizovaného zásobovania teplom a chladom v zmysle článku 26 smernice (EÚ) 2023/1791, uveďte záväzok, že príjemca začne práce na dosiahnutie uvedenej normy týkajúcej sa účinnosti do troch rokov od dokončenia prác na modernizácii podľa bodu 390 CEEAG:</w:t>
      </w:r>
    </w:p>
    <w:p w14:paraId="36A7ABB1" w14:textId="77777777" w:rsidR="007D4BDB" w:rsidRPr="00701E4D" w:rsidRDefault="007D4BDB" w:rsidP="007D4BDB">
      <w:pPr>
        <w:tabs>
          <w:tab w:val="left" w:leader="dot" w:pos="9072"/>
        </w:tabs>
        <w:ind w:left="567"/>
        <w:rPr>
          <w:noProof/>
        </w:rPr>
      </w:pPr>
      <w:r w:rsidRPr="00701E4D">
        <w:rPr>
          <w:noProof/>
        </w:rPr>
        <w:tab/>
      </w:r>
    </w:p>
    <w:p w14:paraId="5972832F" w14:textId="77777777" w:rsidR="007D4BDB" w:rsidRPr="003D04A8" w:rsidRDefault="007D4BDB" w:rsidP="007D4BDB">
      <w:pPr>
        <w:pStyle w:val="ManualHeading2"/>
        <w:rPr>
          <w:noProof/>
        </w:rPr>
      </w:pPr>
      <w:r w:rsidRPr="00447796">
        <w:rPr>
          <w:noProof/>
        </w:rPr>
        <w:t>1.2.</w:t>
      </w:r>
      <w:r w:rsidRPr="00447796">
        <w:rPr>
          <w:noProof/>
        </w:rPr>
        <w:tab/>
      </w:r>
      <w:r w:rsidRPr="003D04A8">
        <w:rPr>
          <w:noProof/>
        </w:rPr>
        <w:t>Stimulačný účinok</w:t>
      </w:r>
    </w:p>
    <w:p w14:paraId="191F92C5" w14:textId="77777777" w:rsidR="007D4BDB" w:rsidRPr="003D04A8" w:rsidRDefault="007D4BDB" w:rsidP="007D4BDB">
      <w:pPr>
        <w:rPr>
          <w:i/>
          <w:noProof/>
        </w:rPr>
      </w:pPr>
      <w:r w:rsidRPr="003D04A8">
        <w:rPr>
          <w:i/>
          <w:noProof/>
        </w:rPr>
        <w:t xml:space="preserve">Pri vypĺňaní tohto oddielu postupujte podľa informácií v oddiele 3.1.2 (body 26 – 32) CEEAG. </w:t>
      </w:r>
    </w:p>
    <w:p w14:paraId="6B4E4A3C" w14:textId="77777777" w:rsidR="007D4BDB" w:rsidRPr="00701E4D" w:rsidRDefault="007D4BDB" w:rsidP="007D4BDB">
      <w:pPr>
        <w:pStyle w:val="ManualNumPar1"/>
        <w:rPr>
          <w:noProof/>
        </w:rPr>
      </w:pPr>
      <w:r w:rsidRPr="00447796">
        <w:rPr>
          <w:noProof/>
        </w:rPr>
        <w:t>12.</w:t>
      </w:r>
      <w:r w:rsidRPr="00447796">
        <w:rPr>
          <w:noProof/>
        </w:rPr>
        <w:tab/>
      </w:r>
      <w:r w:rsidRPr="00701E4D">
        <w:rPr>
          <w:noProof/>
        </w:rPr>
        <w:t>Za pomoc uľahčujúcu hospodársku činnosť sa môže považovať len pomoc, ktorá má stimulačný účinok. Na posúdenie súladu s bodom 26 CEEAG vysvetlite, ako toto opatrenie/tieto opatrenia „</w:t>
      </w:r>
      <w:r w:rsidRPr="003D04A8">
        <w:rPr>
          <w:i/>
          <w:noProof/>
        </w:rPr>
        <w:t>motivuje [motivujú] príjemcu k zmene správania, zapojeniu do ďalšej hospodárskej činnosti alebo do hospodárskej činnosti šetrnejšej k životnému prostrediu, ktorú by bez pomoci nevykonával alebo ktorú by vykonával v obmedzenej miere či iným spôsobom</w:t>
      </w:r>
      <w:r w:rsidRPr="00701E4D">
        <w:rPr>
          <w:noProof/>
        </w:rPr>
        <w:t>“:</w:t>
      </w:r>
      <w:r w:rsidRPr="003D04A8">
        <w:rPr>
          <w:i/>
          <w:noProof/>
        </w:rPr>
        <w:t xml:space="preserve"> </w:t>
      </w:r>
    </w:p>
    <w:p w14:paraId="3582C241" w14:textId="77777777" w:rsidR="007D4BDB" w:rsidRPr="00701E4D" w:rsidRDefault="007D4BDB" w:rsidP="007D4BDB">
      <w:pPr>
        <w:tabs>
          <w:tab w:val="left" w:leader="dot" w:pos="9072"/>
        </w:tabs>
        <w:ind w:left="567"/>
        <w:rPr>
          <w:noProof/>
        </w:rPr>
      </w:pPr>
      <w:r w:rsidRPr="00701E4D">
        <w:rPr>
          <w:noProof/>
        </w:rPr>
        <w:tab/>
      </w:r>
    </w:p>
    <w:p w14:paraId="74630529" w14:textId="77777777" w:rsidR="007D4BDB" w:rsidRPr="00701E4D" w:rsidRDefault="007D4BDB" w:rsidP="007D4BDB">
      <w:pPr>
        <w:pStyle w:val="ManualNumPar1"/>
        <w:rPr>
          <w:noProof/>
        </w:rPr>
      </w:pPr>
      <w:r w:rsidRPr="00447796">
        <w:rPr>
          <w:noProof/>
        </w:rPr>
        <w:t>13.</w:t>
      </w:r>
      <w:r w:rsidRPr="00447796">
        <w:rPr>
          <w:noProof/>
        </w:rPr>
        <w:tab/>
      </w:r>
      <w:r w:rsidRPr="00701E4D">
        <w:rPr>
          <w:noProof/>
        </w:rPr>
        <w:t xml:space="preserve">Na posúdenie súladu s bodom 27 CEEAG poskytnite informácie, ktoré potvrdia, že </w:t>
      </w:r>
      <w:r w:rsidRPr="00701E4D">
        <w:rPr>
          <w:noProof/>
          <w:shd w:val="clear" w:color="auto" w:fill="FFFFFF"/>
        </w:rPr>
        <w:t xml:space="preserve">pomoc neslúži na úhradu nákladov na činnosť, ktorú by príjemca pomoci vykonával </w:t>
      </w:r>
      <w:r w:rsidRPr="00701E4D">
        <w:rPr>
          <w:noProof/>
          <w:shd w:val="clear" w:color="auto" w:fill="FFFFFF"/>
        </w:rPr>
        <w:lastRenderedPageBreak/>
        <w:t>v každom prípade, ani na kompenzáciu bežného podnikateľského rizika spojeného s hospodárskou činnosťou</w:t>
      </w:r>
      <w:r w:rsidRPr="00701E4D">
        <w:rPr>
          <w:rStyle w:val="Odkaznapoznmkupodiarou"/>
          <w:noProof/>
          <w:color w:val="000000"/>
        </w:rPr>
        <w:footnoteReference w:id="3"/>
      </w:r>
      <w:r w:rsidRPr="00701E4D">
        <w:rPr>
          <w:noProof/>
        </w:rPr>
        <w:t>:</w:t>
      </w:r>
    </w:p>
    <w:p w14:paraId="15C9F606" w14:textId="77777777" w:rsidR="007D4BDB" w:rsidRPr="00701E4D" w:rsidRDefault="007D4BDB" w:rsidP="007D4BDB">
      <w:pPr>
        <w:tabs>
          <w:tab w:val="left" w:leader="dot" w:pos="9072"/>
        </w:tabs>
        <w:ind w:left="567"/>
        <w:rPr>
          <w:noProof/>
        </w:rPr>
      </w:pPr>
      <w:r w:rsidRPr="00701E4D">
        <w:rPr>
          <w:noProof/>
        </w:rPr>
        <w:tab/>
      </w:r>
    </w:p>
    <w:p w14:paraId="7FF00F08" w14:textId="77777777" w:rsidR="007D4BDB" w:rsidRPr="00701E4D" w:rsidRDefault="007D4BDB" w:rsidP="007D4BDB">
      <w:pPr>
        <w:pStyle w:val="ManualNumPar1"/>
        <w:rPr>
          <w:noProof/>
        </w:rPr>
      </w:pPr>
      <w:r w:rsidRPr="00447796">
        <w:rPr>
          <w:noProof/>
        </w:rPr>
        <w:t>14.</w:t>
      </w:r>
      <w:r w:rsidRPr="00447796">
        <w:rPr>
          <w:noProof/>
        </w:rPr>
        <w:tab/>
      </w:r>
      <w:r w:rsidRPr="00701E4D">
        <w:rPr>
          <w:noProof/>
        </w:rPr>
        <w:t>Uveďte komplexný opis faktického scenára a pravdepodobného kontrafaktuálneho scenára/pravdepodobných kontrafaktuálnych scenárov. V prípade schém vzťahujúcich sa na rôzne referenčné projekty</w:t>
      </w:r>
      <w:r w:rsidRPr="00701E4D">
        <w:rPr>
          <w:rStyle w:val="Odkaznapoznmkupodiarou"/>
          <w:noProof/>
          <w:lang w:eastAsia="en-GB"/>
        </w:rPr>
        <w:footnoteReference w:id="4"/>
      </w:r>
      <w:r w:rsidRPr="00701E4D">
        <w:rPr>
          <w:noProof/>
        </w:rPr>
        <w:t xml:space="preserve"> sa takýto opis musí predložiť v súvislosti s každým referenčným projektom. V prípade výstavby, modernizácie a prevádzky distribučných sústav sa za kontrafaktuálny scenár považuje situácia, v ktorej by sa projekt neuskutočnil (bod 395 CEEAG):</w:t>
      </w:r>
    </w:p>
    <w:p w14:paraId="377D915B" w14:textId="77777777" w:rsidR="007D4BDB" w:rsidRPr="00701E4D" w:rsidRDefault="007D4BDB" w:rsidP="007D4BDB">
      <w:pPr>
        <w:tabs>
          <w:tab w:val="left" w:leader="dot" w:pos="9072"/>
        </w:tabs>
        <w:ind w:left="567"/>
        <w:rPr>
          <w:noProof/>
        </w:rPr>
      </w:pPr>
      <w:r w:rsidRPr="00701E4D">
        <w:rPr>
          <w:noProof/>
        </w:rPr>
        <w:tab/>
      </w:r>
    </w:p>
    <w:p w14:paraId="673E15D1" w14:textId="77777777" w:rsidR="007D4BDB" w:rsidRPr="00701E4D" w:rsidRDefault="007D4BDB" w:rsidP="007D4BDB">
      <w:pPr>
        <w:pStyle w:val="Point1"/>
        <w:rPr>
          <w:noProof/>
        </w:rPr>
      </w:pPr>
      <w:r w:rsidRPr="00701E4D">
        <w:rPr>
          <w:noProof/>
        </w:rPr>
        <w:t>a)</w:t>
      </w:r>
      <w:r w:rsidRPr="00701E4D">
        <w:rPr>
          <w:noProof/>
        </w:rPr>
        <w:tab/>
        <w:t>Ako sa uvádza v bode 28, v poznámke pod čiarou č. 39 CEEAG, k tomuto formuláru doplňujúcich informácií pripojte všetky úradné dokumenty vedenia, posúdenia rizík, finančné správy, interné podnikateľské plány, stanoviská odborníkov a iné štúdie týkajúce sa posudzovaného projektu, dokumenty obsahujúce informácie o prognózach dopytu, odhadoch nákladov a finančných prognózach, dokumenty predložené investičnému výboru, v ktorých sa podrobne uvádzajú investičné/prevádzkové scenáre, alebo dokumenty poskytnuté finančným inštitúciám.</w:t>
      </w:r>
    </w:p>
    <w:p w14:paraId="53D7D0E3" w14:textId="77777777" w:rsidR="007D4BDB" w:rsidRPr="00701E4D" w:rsidRDefault="007D4BDB" w:rsidP="007D4BDB">
      <w:pPr>
        <w:pStyle w:val="Text2"/>
        <w:rPr>
          <w:noProof/>
        </w:rPr>
      </w:pPr>
      <w:r w:rsidRPr="00701E4D">
        <w:rPr>
          <w:noProof/>
        </w:rPr>
        <w:t>Upozorňujeme, že tieto dokumenty musia pochádzať z obdobia, keď prebiehal rozhodovací proces týkajúci sa rozhodnutia o investícii/prevádzke.</w:t>
      </w:r>
    </w:p>
    <w:p w14:paraId="197565C4" w14:textId="77777777" w:rsidR="007D4BDB" w:rsidRPr="00701E4D" w:rsidRDefault="007D4BDB" w:rsidP="007D4BDB">
      <w:pPr>
        <w:pStyle w:val="Text2"/>
        <w:rPr>
          <w:noProof/>
        </w:rPr>
      </w:pPr>
      <w:r w:rsidRPr="00701E4D">
        <w:rPr>
          <w:noProof/>
        </w:rPr>
        <w:t xml:space="preserve">Ak sú takéto dokumenty priložené k </w:t>
      </w:r>
      <w:bookmarkStart w:id="1" w:name="_Hlk177381900"/>
      <w:r w:rsidRPr="00701E4D">
        <w:rPr>
          <w:noProof/>
        </w:rPr>
        <w:t>formuláru doplňujúcich informácií</w:t>
      </w:r>
      <w:bookmarkEnd w:id="1"/>
      <w:r w:rsidRPr="00701E4D">
        <w:rPr>
          <w:noProof/>
        </w:rPr>
        <w:t>, uveďte ich zoznam a špecifikujte ich autora, dátum vypracovania a kontext, v ktorom boli použité:</w:t>
      </w:r>
    </w:p>
    <w:p w14:paraId="47CDC6C0" w14:textId="77777777" w:rsidR="007D4BDB" w:rsidRPr="00701E4D" w:rsidRDefault="007D4BDB" w:rsidP="007D4BDB">
      <w:pPr>
        <w:tabs>
          <w:tab w:val="left" w:leader="dot" w:pos="9072"/>
        </w:tabs>
        <w:ind w:left="567"/>
        <w:rPr>
          <w:noProof/>
        </w:rPr>
      </w:pPr>
      <w:r w:rsidRPr="00701E4D">
        <w:rPr>
          <w:noProof/>
        </w:rPr>
        <w:tab/>
      </w:r>
    </w:p>
    <w:p w14:paraId="3C4E9695" w14:textId="77777777" w:rsidR="007D4BDB" w:rsidRPr="00701E4D" w:rsidRDefault="007D4BDB" w:rsidP="007D4BDB">
      <w:pPr>
        <w:pStyle w:val="Point1"/>
        <w:rPr>
          <w:noProof/>
        </w:rPr>
      </w:pPr>
      <w:r w:rsidRPr="00701E4D">
        <w:rPr>
          <w:noProof/>
        </w:rPr>
        <w:t>b)</w:t>
      </w:r>
      <w:r w:rsidRPr="00701E4D">
        <w:rPr>
          <w:noProof/>
        </w:rPr>
        <w:tab/>
        <w:t xml:space="preserve">V prílohe k tomuto formuláru doplňujúcich informácií (s použitím súboru Excel, </w:t>
      </w:r>
      <w:r w:rsidRPr="00701E4D">
        <w:rPr>
          <w:noProof/>
          <w:shd w:val="clear" w:color="auto" w:fill="FFFFFF"/>
        </w:rPr>
        <w:t>v ktorom sú viditeľné všetky vzorce</w:t>
      </w:r>
      <w:r w:rsidRPr="00701E4D">
        <w:rPr>
          <w:noProof/>
        </w:rPr>
        <w:t xml:space="preserve">) uveďte v prípade faktického scenára a dôveryhodného kontrafaktuálneho scenára, ako sú opísané v bode i), kvantifikáciu všetkých hlavných nákladov a príjmov, odhadovaných vážených priemerných kapitálových nákladov príjemcov na diskontovanie hodnoty budúcich peňažných tokov, ako aj čistú súčasnú hodnotu v rámci faktického a kontrafaktuálneho scenára počas celého trvania projektu. V prípade individuálnej pomoci a schém prospešných pre veľmi obmedzený počet príjemcov je potrebné tieto výpočty a projekcie prezentovať na úrovni podrobného podnikateľského plánu projektu a v prípade schém pomoci na základe jedného referenčného projektu alebo viacerých referenčných projektov. </w:t>
      </w:r>
    </w:p>
    <w:p w14:paraId="2DF39C02" w14:textId="77777777" w:rsidR="007D4BDB" w:rsidRPr="00701E4D" w:rsidRDefault="007D4BDB" w:rsidP="007D4BDB">
      <w:pPr>
        <w:pStyle w:val="Point1"/>
        <w:rPr>
          <w:noProof/>
        </w:rPr>
      </w:pPr>
      <w:r w:rsidRPr="00701E4D">
        <w:rPr>
          <w:noProof/>
        </w:rPr>
        <w:t>c)</w:t>
      </w:r>
      <w:r w:rsidRPr="00701E4D">
        <w:rPr>
          <w:noProof/>
        </w:rPr>
        <w:tab/>
        <w:t>Do prílohy k tomuto formuláru doplňujúcich informácií zahrňte podrobné informácie o predpokladoch, metodikách, zdôvodneniach a ich základných zdrojoch použitých v prípade každého aspektu kvantifikácie nákladov a výnosov v rámci faktického scenára a pravdepodobného kontrafaktuálneho scenára/pravdepodobných kontrafaktuálnych scenárov (napríklad uveďte predpoklady použité na vypracovanie týchto scenárov):</w:t>
      </w:r>
    </w:p>
    <w:p w14:paraId="75B4D64F" w14:textId="77777777" w:rsidR="007D4BDB" w:rsidRPr="00701E4D" w:rsidRDefault="007D4BDB" w:rsidP="007D4BDB">
      <w:pPr>
        <w:tabs>
          <w:tab w:val="left" w:leader="dot" w:pos="9072"/>
        </w:tabs>
        <w:ind w:left="567"/>
        <w:rPr>
          <w:noProof/>
        </w:rPr>
      </w:pPr>
      <w:r w:rsidRPr="00701E4D">
        <w:rPr>
          <w:noProof/>
        </w:rPr>
        <w:lastRenderedPageBreak/>
        <w:tab/>
      </w:r>
    </w:p>
    <w:p w14:paraId="358E8FE2" w14:textId="77777777" w:rsidR="007D4BDB" w:rsidRPr="00701E4D" w:rsidRDefault="007D4BDB" w:rsidP="007D4BDB">
      <w:pPr>
        <w:pStyle w:val="ManualNumPar1"/>
        <w:rPr>
          <w:noProof/>
        </w:rPr>
      </w:pPr>
      <w:r w:rsidRPr="00447796">
        <w:rPr>
          <w:noProof/>
        </w:rPr>
        <w:t>15.</w:t>
      </w:r>
      <w:r w:rsidRPr="00447796">
        <w:rPr>
          <w:noProof/>
        </w:rPr>
        <w:tab/>
      </w:r>
      <w:r w:rsidRPr="00701E4D">
        <w:rPr>
          <w:noProof/>
        </w:rPr>
        <w:t>Na preukázanie súladu s bodmi 29 a 31 CEEAG:</w:t>
      </w:r>
    </w:p>
    <w:p w14:paraId="39329C41" w14:textId="77777777" w:rsidR="007D4BDB" w:rsidRPr="00701E4D" w:rsidRDefault="007D4BDB" w:rsidP="007D4BDB">
      <w:pPr>
        <w:pStyle w:val="Point1"/>
        <w:rPr>
          <w:noProof/>
        </w:rPr>
      </w:pPr>
      <w:r w:rsidRPr="00701E4D">
        <w:rPr>
          <w:noProof/>
        </w:rPr>
        <w:t>a)</w:t>
      </w:r>
      <w:r w:rsidRPr="00701E4D">
        <w:rPr>
          <w:noProof/>
        </w:rPr>
        <w:tab/>
        <w:t>potvrďte, že práce na projekte alebo činnosti sa nezačali predtým, ako príjemca podal vnútroštátnym orgánom písomnú žiadosť o pomoc:</w:t>
      </w:r>
    </w:p>
    <w:p w14:paraId="65A14A92" w14:textId="77777777" w:rsidR="007D4BDB" w:rsidRPr="00701E4D" w:rsidRDefault="007D4BDB" w:rsidP="007D4BDB">
      <w:pPr>
        <w:tabs>
          <w:tab w:val="left" w:leader="dot" w:pos="9072"/>
        </w:tabs>
        <w:ind w:left="567"/>
        <w:rPr>
          <w:noProof/>
        </w:rPr>
      </w:pPr>
      <w:r w:rsidRPr="00701E4D">
        <w:rPr>
          <w:noProof/>
        </w:rPr>
        <w:tab/>
      </w:r>
    </w:p>
    <w:p w14:paraId="77B69E86" w14:textId="77777777" w:rsidR="007D4BDB" w:rsidRPr="003D04A8" w:rsidRDefault="007D4BDB" w:rsidP="007D4BDB">
      <w:pPr>
        <w:pStyle w:val="Text1"/>
        <w:rPr>
          <w:i/>
          <w:iCs/>
          <w:noProof/>
        </w:rPr>
      </w:pPr>
      <w:r w:rsidRPr="003D04A8">
        <w:rPr>
          <w:i/>
          <w:noProof/>
        </w:rPr>
        <w:t>ALEBO</w:t>
      </w:r>
    </w:p>
    <w:p w14:paraId="33EC7291" w14:textId="77777777" w:rsidR="007D4BDB" w:rsidRPr="00701E4D" w:rsidRDefault="007D4BDB" w:rsidP="007D4BDB">
      <w:pPr>
        <w:pStyle w:val="Point1"/>
        <w:rPr>
          <w:noProof/>
        </w:rPr>
      </w:pPr>
      <w:r w:rsidRPr="00701E4D">
        <w:rPr>
          <w:noProof/>
        </w:rPr>
        <w:t>b)</w:t>
      </w:r>
      <w:r w:rsidRPr="00701E4D">
        <w:rPr>
          <w:noProof/>
        </w:rPr>
        <w:tab/>
        <w:t>v prípade projektov, ktoré sa začali pred podaním žiadosti o pomoc, preukážte, že projekt patrí do jedného z výnimočných prípadov uvedených v bode 31 CEEAG [písm. a), b) alebo c)]</w:t>
      </w:r>
      <w:r w:rsidRPr="00701E4D">
        <w:rPr>
          <w:rStyle w:val="Odkaznapoznmkupodiarou"/>
          <w:noProof/>
          <w:lang w:eastAsia="en-GB"/>
        </w:rPr>
        <w:footnoteReference w:id="5"/>
      </w:r>
      <w:r w:rsidRPr="00701E4D">
        <w:rPr>
          <w:noProof/>
        </w:rPr>
        <w:t xml:space="preserve">: </w:t>
      </w:r>
    </w:p>
    <w:p w14:paraId="10F3F022" w14:textId="77777777" w:rsidR="007D4BDB" w:rsidRPr="00701E4D" w:rsidRDefault="007D4BDB" w:rsidP="007D4BDB">
      <w:pPr>
        <w:tabs>
          <w:tab w:val="left" w:leader="dot" w:pos="9072"/>
        </w:tabs>
        <w:ind w:left="567"/>
        <w:rPr>
          <w:noProof/>
        </w:rPr>
      </w:pPr>
      <w:r w:rsidRPr="00701E4D">
        <w:rPr>
          <w:noProof/>
        </w:rPr>
        <w:tab/>
      </w:r>
    </w:p>
    <w:p w14:paraId="794FF874" w14:textId="77777777" w:rsidR="007D4BDB" w:rsidRPr="00701E4D" w:rsidRDefault="007D4BDB" w:rsidP="007D4BDB">
      <w:pPr>
        <w:pStyle w:val="ManualNumPar1"/>
        <w:rPr>
          <w:noProof/>
        </w:rPr>
      </w:pPr>
      <w:r w:rsidRPr="00447796">
        <w:rPr>
          <w:noProof/>
        </w:rPr>
        <w:t>16.</w:t>
      </w:r>
      <w:r w:rsidRPr="00447796">
        <w:rPr>
          <w:noProof/>
        </w:rPr>
        <w:tab/>
      </w:r>
      <w:r w:rsidRPr="00701E4D">
        <w:rPr>
          <w:noProof/>
        </w:rPr>
        <w:t>Na preukázanie súladu s bodom 30 CEEAG potvrďte, že žiadosť o pomoc obsahuje aspoň meno/názov žiadateľa, opis projektu alebo činnosti vrátane miesta ich uskutočnenia a výšku pomoci potrebnej na ich realizáciu:</w:t>
      </w:r>
    </w:p>
    <w:p w14:paraId="0BFB6B83" w14:textId="77777777" w:rsidR="007D4BDB" w:rsidRPr="00701E4D" w:rsidRDefault="007D4BDB" w:rsidP="007D4BDB">
      <w:pPr>
        <w:tabs>
          <w:tab w:val="left" w:leader="dot" w:pos="9072"/>
        </w:tabs>
        <w:ind w:left="567"/>
        <w:rPr>
          <w:noProof/>
        </w:rPr>
      </w:pPr>
      <w:r w:rsidRPr="00701E4D">
        <w:rPr>
          <w:noProof/>
        </w:rPr>
        <w:tab/>
      </w:r>
    </w:p>
    <w:p w14:paraId="47582D52" w14:textId="77777777" w:rsidR="007D4BDB" w:rsidRPr="00701E4D" w:rsidRDefault="007D4BDB" w:rsidP="007D4BDB">
      <w:pPr>
        <w:pStyle w:val="ManualNumPar1"/>
        <w:rPr>
          <w:noProof/>
        </w:rPr>
      </w:pPr>
      <w:r w:rsidRPr="00447796">
        <w:rPr>
          <w:noProof/>
        </w:rPr>
        <w:t>17.</w:t>
      </w:r>
      <w:r w:rsidRPr="00447796">
        <w:rPr>
          <w:noProof/>
        </w:rPr>
        <w:tab/>
      </w:r>
      <w:r w:rsidRPr="00701E4D">
        <w:rPr>
          <w:noProof/>
        </w:rPr>
        <w:t>Na preukázanie súladu s bodom 32 CEEAG uveďte, či existujú normy Únie</w:t>
      </w:r>
      <w:r w:rsidRPr="00701E4D">
        <w:rPr>
          <w:rStyle w:val="Odkaznapoznmkupodiarou"/>
          <w:noProof/>
          <w:lang w:eastAsia="en-GB"/>
        </w:rPr>
        <w:footnoteReference w:id="6"/>
      </w:r>
      <w:r w:rsidRPr="00701E4D">
        <w:rPr>
          <w:noProof/>
        </w:rPr>
        <w:t xml:space="preserve"> uplatniteľné na notifikované opatrenie/opatrenia, povinné vnútroštátne normy, ktoré </w:t>
      </w:r>
      <w:r w:rsidRPr="00701E4D">
        <w:rPr>
          <w:noProof/>
        </w:rPr>
        <w:lastRenderedPageBreak/>
        <w:t>sú prísnejšie alebo ambicióznejšie ako zodpovedajúce normy Únie, alebo povinné vnútroštátne normy prijaté v prípade, že normy Únie neexistujú. V tejto súvislosti uveďte informácie na preukázanie stimulačného účinku:</w:t>
      </w:r>
    </w:p>
    <w:p w14:paraId="1CCF8D7D" w14:textId="77777777" w:rsidR="007D4BDB" w:rsidRPr="00701E4D" w:rsidRDefault="007D4BDB" w:rsidP="007D4BDB">
      <w:pPr>
        <w:tabs>
          <w:tab w:val="left" w:leader="dot" w:pos="9072"/>
        </w:tabs>
        <w:ind w:left="567"/>
        <w:rPr>
          <w:noProof/>
        </w:rPr>
      </w:pPr>
      <w:r w:rsidRPr="00701E4D">
        <w:rPr>
          <w:noProof/>
        </w:rPr>
        <w:tab/>
      </w:r>
    </w:p>
    <w:p w14:paraId="6173C10F" w14:textId="77777777" w:rsidR="007D4BDB" w:rsidRPr="00701E4D" w:rsidRDefault="007D4BDB" w:rsidP="007D4BDB">
      <w:pPr>
        <w:pStyle w:val="ManualNumPar1"/>
        <w:rPr>
          <w:noProof/>
        </w:rPr>
      </w:pPr>
      <w:r w:rsidRPr="00447796">
        <w:rPr>
          <w:noProof/>
        </w:rPr>
        <w:t>18.</w:t>
      </w:r>
      <w:r w:rsidRPr="00447796">
        <w:rPr>
          <w:noProof/>
        </w:rPr>
        <w:tab/>
      </w:r>
      <w:r w:rsidRPr="00701E4D">
        <w:rPr>
          <w:noProof/>
        </w:rPr>
        <w:t>Ak bola príslušná norma Únie už prijatá, ale ešte nenadobudla účinnosť, preukážte, že pomoc má stimulačný účinok, pretože motivuje k uskutočneniu a dokončeniu investície aspoň 18 mesiacov pred nadobudnutím účinnosti normy:</w:t>
      </w:r>
    </w:p>
    <w:p w14:paraId="30C255AF" w14:textId="77777777" w:rsidR="007D4BDB" w:rsidRPr="00701E4D" w:rsidRDefault="007D4BDB" w:rsidP="007D4BDB">
      <w:pPr>
        <w:tabs>
          <w:tab w:val="left" w:leader="dot" w:pos="9072"/>
        </w:tabs>
        <w:ind w:left="567"/>
        <w:rPr>
          <w:noProof/>
        </w:rPr>
      </w:pPr>
      <w:bookmarkStart w:id="2" w:name="_Hlk163740936"/>
      <w:r w:rsidRPr="00701E4D">
        <w:rPr>
          <w:noProof/>
        </w:rPr>
        <w:tab/>
      </w:r>
    </w:p>
    <w:bookmarkEnd w:id="2"/>
    <w:p w14:paraId="2A5DF05E" w14:textId="77777777" w:rsidR="007D4BDB" w:rsidRPr="003D04A8" w:rsidRDefault="007D4BDB" w:rsidP="007D4BDB">
      <w:pPr>
        <w:pStyle w:val="ManualHeading2"/>
        <w:rPr>
          <w:noProof/>
        </w:rPr>
      </w:pPr>
      <w:r w:rsidRPr="00447796">
        <w:rPr>
          <w:noProof/>
        </w:rPr>
        <w:t>1.3.</w:t>
      </w:r>
      <w:r w:rsidRPr="00447796">
        <w:rPr>
          <w:noProof/>
        </w:rPr>
        <w:tab/>
      </w:r>
      <w:r w:rsidRPr="003D04A8">
        <w:rPr>
          <w:noProof/>
        </w:rPr>
        <w:t>Neporušenie žiadneho relevantného ustanovenia právnych predpisov Únie</w:t>
      </w:r>
    </w:p>
    <w:p w14:paraId="70DB1F29" w14:textId="77777777" w:rsidR="007D4BDB" w:rsidRPr="003D04A8" w:rsidRDefault="007D4BDB" w:rsidP="007D4BDB">
      <w:pPr>
        <w:spacing w:before="360"/>
        <w:rPr>
          <w:i/>
          <w:noProof/>
        </w:rPr>
      </w:pPr>
      <w:r w:rsidRPr="003D04A8">
        <w:rPr>
          <w:i/>
          <w:noProof/>
        </w:rPr>
        <w:t xml:space="preserve">Pri vypĺňaní tohto oddielu postupujte podľa informácií v oddiele 3.1.3 (bod 33) CEEAG. </w:t>
      </w:r>
    </w:p>
    <w:p w14:paraId="21476002" w14:textId="77777777" w:rsidR="007D4BDB" w:rsidRPr="00701E4D" w:rsidRDefault="007D4BDB" w:rsidP="007D4BDB">
      <w:pPr>
        <w:pStyle w:val="ManualNumPar1"/>
        <w:rPr>
          <w:noProof/>
        </w:rPr>
      </w:pPr>
      <w:r w:rsidRPr="00447796">
        <w:rPr>
          <w:noProof/>
        </w:rPr>
        <w:t>19.</w:t>
      </w:r>
      <w:r w:rsidRPr="00447796">
        <w:rPr>
          <w:noProof/>
        </w:rPr>
        <w:tab/>
      </w:r>
      <w:r w:rsidRPr="00701E4D">
        <w:rPr>
          <w:noProof/>
        </w:rPr>
        <w:t>Uveďte informácie, ktoré potvrdzujú súlad s príslušnými ustanoveniami právnych predpisov EÚ v súlade s bodom 33 CEEAG:</w:t>
      </w:r>
    </w:p>
    <w:p w14:paraId="4A3AE6CC" w14:textId="77777777" w:rsidR="007D4BDB" w:rsidRPr="00701E4D" w:rsidRDefault="007D4BDB" w:rsidP="007D4BDB">
      <w:pPr>
        <w:tabs>
          <w:tab w:val="left" w:leader="dot" w:pos="9072"/>
        </w:tabs>
        <w:ind w:left="567"/>
        <w:rPr>
          <w:noProof/>
          <w:color w:val="000000"/>
        </w:rPr>
      </w:pPr>
      <w:r w:rsidRPr="00701E4D">
        <w:rPr>
          <w:noProof/>
        </w:rPr>
        <w:tab/>
      </w:r>
    </w:p>
    <w:p w14:paraId="50B4F12E" w14:textId="77777777" w:rsidR="007D4BDB" w:rsidRPr="003D04A8" w:rsidRDefault="007D4BDB" w:rsidP="007D4BDB">
      <w:pPr>
        <w:pStyle w:val="ManualNumPar1"/>
        <w:rPr>
          <w:i/>
          <w:iCs/>
          <w:noProof/>
          <w:color w:val="000000"/>
        </w:rPr>
      </w:pPr>
      <w:r w:rsidRPr="00447796">
        <w:rPr>
          <w:noProof/>
        </w:rPr>
        <w:t>20.</w:t>
      </w:r>
      <w:r w:rsidRPr="00447796">
        <w:rPr>
          <w:noProof/>
        </w:rPr>
        <w:tab/>
      </w:r>
      <w:r w:rsidRPr="00701E4D">
        <w:rPr>
          <w:noProof/>
        </w:rPr>
        <w:t>Ak sa na financovanie opatrenia/opatrení používa poplatok, objasnite, či je potrebné vykonať posúdenie súladu s článkami 30 a 110 zmluvy. V prípade kladnej odpovede preukážte, ako je opatrenie v súlade s ustanoveniami článkov 30 a 110 zmluvy.</w:t>
      </w:r>
      <w:r w:rsidRPr="003D04A8">
        <w:rPr>
          <w:i/>
          <w:noProof/>
        </w:rPr>
        <w:t xml:space="preserve"> </w:t>
      </w:r>
      <w:r w:rsidRPr="00701E4D">
        <w:rPr>
          <w:noProof/>
        </w:rPr>
        <w:t>V tejto súvislosti sa možno odvolať na informácie predložené v rámci vyššie uvedenej otázky 5.2, ak je notifikované opatrenie/sú notifikované opatrenia financované prostredníctvom poplatku:</w:t>
      </w:r>
    </w:p>
    <w:p w14:paraId="48956015" w14:textId="77777777" w:rsidR="007D4BDB" w:rsidRPr="00701E4D" w:rsidRDefault="007D4BDB" w:rsidP="007D4BDB">
      <w:pPr>
        <w:tabs>
          <w:tab w:val="left" w:leader="dot" w:pos="9072"/>
        </w:tabs>
        <w:ind w:left="567"/>
        <w:rPr>
          <w:noProof/>
          <w:color w:val="000000"/>
        </w:rPr>
      </w:pPr>
      <w:r w:rsidRPr="00701E4D">
        <w:rPr>
          <w:noProof/>
        </w:rPr>
        <w:tab/>
      </w:r>
    </w:p>
    <w:p w14:paraId="2593CE76" w14:textId="77777777" w:rsidR="007D4BDB" w:rsidRPr="003D04A8" w:rsidRDefault="007D4BDB" w:rsidP="007D4BDB">
      <w:pPr>
        <w:pStyle w:val="ManualHeading1"/>
        <w:rPr>
          <w:noProof/>
        </w:rPr>
      </w:pPr>
      <w:r w:rsidRPr="00447796">
        <w:rPr>
          <w:noProof/>
        </w:rPr>
        <w:t>2.</w:t>
      </w:r>
      <w:r w:rsidRPr="00447796">
        <w:rPr>
          <w:noProof/>
        </w:rPr>
        <w:tab/>
      </w:r>
      <w:r w:rsidRPr="003D04A8">
        <w:rPr>
          <w:noProof/>
        </w:rPr>
        <w:t>Negatívna podmienka: pomoc nemôže nepriaznivo ovplyvňovať obchodné podmienky v takej miere, že by to bolo v rozpore so spoločným záujmom</w:t>
      </w:r>
    </w:p>
    <w:p w14:paraId="32644DA0" w14:textId="77777777" w:rsidR="007D4BDB" w:rsidRPr="003D04A8" w:rsidRDefault="007D4BDB" w:rsidP="007D4BDB">
      <w:pPr>
        <w:pStyle w:val="ManualHeading2"/>
        <w:rPr>
          <w:noProof/>
        </w:rPr>
      </w:pPr>
      <w:r w:rsidRPr="00447796">
        <w:rPr>
          <w:noProof/>
        </w:rPr>
        <w:t>2.1.</w:t>
      </w:r>
      <w:r w:rsidRPr="00447796">
        <w:rPr>
          <w:noProof/>
        </w:rPr>
        <w:tab/>
      </w:r>
      <w:r w:rsidRPr="003D04A8">
        <w:rPr>
          <w:noProof/>
        </w:rPr>
        <w:t>Minimalizácia narušení hospodárskej súťaže a obchodu</w:t>
      </w:r>
    </w:p>
    <w:p w14:paraId="4D02B4E9" w14:textId="77777777" w:rsidR="007D4BDB" w:rsidRPr="003D04A8" w:rsidRDefault="007D4BDB" w:rsidP="007D4BDB">
      <w:pPr>
        <w:pStyle w:val="ManualHeading3"/>
        <w:rPr>
          <w:noProof/>
        </w:rPr>
      </w:pPr>
      <w:r w:rsidRPr="00447796">
        <w:rPr>
          <w:noProof/>
        </w:rPr>
        <w:t>2.1.1.</w:t>
      </w:r>
      <w:r w:rsidRPr="00447796">
        <w:rPr>
          <w:noProof/>
        </w:rPr>
        <w:tab/>
      </w:r>
      <w:r w:rsidRPr="003D04A8">
        <w:rPr>
          <w:noProof/>
        </w:rPr>
        <w:tab/>
        <w:t>Nevyhnutnosť a vhodnosť zásahu vo forme štátnej pomoci</w:t>
      </w:r>
    </w:p>
    <w:p w14:paraId="7BE33AEA" w14:textId="77777777" w:rsidR="007D4BDB" w:rsidRPr="003D04A8" w:rsidRDefault="007D4BDB" w:rsidP="007D4BDB">
      <w:pPr>
        <w:rPr>
          <w:i/>
          <w:noProof/>
          <w:color w:val="000000"/>
        </w:rPr>
      </w:pPr>
      <w:r w:rsidRPr="003D04A8">
        <w:rPr>
          <w:i/>
          <w:noProof/>
        </w:rPr>
        <w:t>Pri vypĺňaní tohto oddielu postupujte podľa informácií v oddiele 4.10.3 (body 391 – 393) CEEAG.</w:t>
      </w:r>
      <w:r w:rsidRPr="003D04A8">
        <w:rPr>
          <w:i/>
          <w:noProof/>
          <w:color w:val="000000"/>
        </w:rPr>
        <w:t xml:space="preserve"> </w:t>
      </w:r>
    </w:p>
    <w:p w14:paraId="57580EE7" w14:textId="77777777" w:rsidR="007D4BDB" w:rsidRPr="00701E4D" w:rsidRDefault="007D4BDB" w:rsidP="007D4BDB">
      <w:pPr>
        <w:pStyle w:val="ManualNumPar1"/>
        <w:rPr>
          <w:noProof/>
        </w:rPr>
      </w:pPr>
      <w:r w:rsidRPr="00447796">
        <w:rPr>
          <w:noProof/>
        </w:rPr>
        <w:t>21.</w:t>
      </w:r>
      <w:r w:rsidRPr="00447796">
        <w:rPr>
          <w:noProof/>
        </w:rPr>
        <w:tab/>
      </w:r>
      <w:r w:rsidRPr="00701E4D">
        <w:rPr>
          <w:noProof/>
        </w:rPr>
        <w:t>Podrobne vysvetlite, ako projekt prispeje k vytvoreniu, rozšíreniu alebo modernizácii systémov účinného centralizovaného zásobovania teplom a chladom:</w:t>
      </w:r>
    </w:p>
    <w:p w14:paraId="6840A356" w14:textId="77777777" w:rsidR="007D4BDB" w:rsidRPr="00701E4D" w:rsidRDefault="007D4BDB" w:rsidP="007D4BDB">
      <w:pPr>
        <w:tabs>
          <w:tab w:val="left" w:leader="dot" w:pos="9072"/>
        </w:tabs>
        <w:ind w:left="567"/>
        <w:rPr>
          <w:noProof/>
        </w:rPr>
      </w:pPr>
      <w:bookmarkStart w:id="3" w:name="_Hlk171095492"/>
      <w:r w:rsidRPr="00701E4D">
        <w:rPr>
          <w:noProof/>
        </w:rPr>
        <w:tab/>
      </w:r>
    </w:p>
    <w:bookmarkEnd w:id="3"/>
    <w:p w14:paraId="12C6F7E8" w14:textId="77777777" w:rsidR="007D4BDB" w:rsidRPr="00701E4D" w:rsidRDefault="007D4BDB" w:rsidP="007D4BDB">
      <w:pPr>
        <w:pStyle w:val="ManualNumPar1"/>
        <w:rPr>
          <w:noProof/>
        </w:rPr>
      </w:pPr>
      <w:r w:rsidRPr="00447796">
        <w:rPr>
          <w:noProof/>
        </w:rPr>
        <w:t>22.</w:t>
      </w:r>
      <w:r w:rsidRPr="00447796">
        <w:rPr>
          <w:noProof/>
        </w:rPr>
        <w:tab/>
      </w:r>
      <w:r w:rsidRPr="00701E4D">
        <w:rPr>
          <w:noProof/>
        </w:rPr>
        <w:t>Ak opatrenie výnimočne pokrýva prevádzkové náklady, preukážte, že tieto náklady nemožno preniesť na spotrebiteľov v oblasti centralizovaného zásobovania teplom/chladom bez toho, aby sa tým narušila ochrana životného prostredia v súlade s bodom 392 CEEAG. Preukážte, že podporované systémy centralizovaného zásobovania teplom/chladom zvyšujú energetickú efektívnosť, znižujú emisie CO</w:t>
      </w:r>
      <w:r w:rsidRPr="00701E4D">
        <w:rPr>
          <w:noProof/>
          <w:vertAlign w:val="subscript"/>
        </w:rPr>
        <w:t>2</w:t>
      </w:r>
      <w:r w:rsidRPr="00701E4D">
        <w:rPr>
          <w:noProof/>
        </w:rPr>
        <w:t xml:space="preserve"> a iné zdroje znečistenia, ako aj straty v sústave v porovnaní s alternatívnymi riešeniami centralizovaného zásobovania teplom/chladom:</w:t>
      </w:r>
    </w:p>
    <w:p w14:paraId="762134B4" w14:textId="77777777" w:rsidR="007D4BDB" w:rsidRPr="00701E4D" w:rsidRDefault="007D4BDB" w:rsidP="007D4BDB">
      <w:pPr>
        <w:tabs>
          <w:tab w:val="left" w:leader="dot" w:pos="9072"/>
        </w:tabs>
        <w:ind w:left="567"/>
        <w:rPr>
          <w:noProof/>
        </w:rPr>
      </w:pPr>
      <w:r w:rsidRPr="00701E4D">
        <w:rPr>
          <w:noProof/>
        </w:rPr>
        <w:tab/>
      </w:r>
    </w:p>
    <w:p w14:paraId="72EFCAC8" w14:textId="77777777" w:rsidR="007D4BDB" w:rsidRPr="00701E4D" w:rsidRDefault="007D4BDB" w:rsidP="007D4BDB">
      <w:pPr>
        <w:pStyle w:val="ManualNumPar1"/>
        <w:rPr>
          <w:noProof/>
        </w:rPr>
      </w:pPr>
      <w:r w:rsidRPr="00447796">
        <w:rPr>
          <w:noProof/>
        </w:rPr>
        <w:lastRenderedPageBreak/>
        <w:t>23.</w:t>
      </w:r>
      <w:r w:rsidRPr="00447796">
        <w:rPr>
          <w:noProof/>
        </w:rPr>
        <w:tab/>
      </w:r>
      <w:r w:rsidRPr="00701E4D">
        <w:rPr>
          <w:noProof/>
          <w:shd w:val="clear" w:color="auto" w:fill="FFFFFF"/>
        </w:rPr>
        <w:t>V súlade s bodom 393 CEEAG, ak je projekt založený na odpade ako vstupnom palive, vysvetlite, ako dodržiava zásadu hierarchie odpadového hospodárstva (článok 4 ods. 1 smernice 2008/98/ES):</w:t>
      </w:r>
    </w:p>
    <w:p w14:paraId="74436259" w14:textId="77777777" w:rsidR="007D4BDB" w:rsidRPr="00701E4D" w:rsidRDefault="007D4BDB" w:rsidP="007D4BDB">
      <w:pPr>
        <w:tabs>
          <w:tab w:val="left" w:leader="dot" w:pos="9072"/>
        </w:tabs>
        <w:ind w:left="567"/>
        <w:rPr>
          <w:noProof/>
        </w:rPr>
      </w:pPr>
      <w:r w:rsidRPr="00701E4D">
        <w:rPr>
          <w:noProof/>
        </w:rPr>
        <w:tab/>
      </w:r>
    </w:p>
    <w:p w14:paraId="5820EEBC" w14:textId="77777777" w:rsidR="007D4BDB" w:rsidRPr="003D04A8" w:rsidRDefault="007D4BDB" w:rsidP="007D4BDB">
      <w:pPr>
        <w:pStyle w:val="ManualHeading3"/>
        <w:rPr>
          <w:noProof/>
        </w:rPr>
      </w:pPr>
      <w:r w:rsidRPr="00447796">
        <w:rPr>
          <w:noProof/>
        </w:rPr>
        <w:t>2.1.2.</w:t>
      </w:r>
      <w:r w:rsidRPr="00447796">
        <w:rPr>
          <w:noProof/>
        </w:rPr>
        <w:tab/>
      </w:r>
      <w:r w:rsidRPr="003D04A8">
        <w:rPr>
          <w:noProof/>
        </w:rPr>
        <w:t>Primeranosť pomoci</w:t>
      </w:r>
    </w:p>
    <w:p w14:paraId="02738CA0" w14:textId="77777777" w:rsidR="007D4BDB" w:rsidRPr="003D04A8" w:rsidRDefault="007D4BDB" w:rsidP="007D4BDB">
      <w:pPr>
        <w:rPr>
          <w:i/>
          <w:noProof/>
        </w:rPr>
      </w:pPr>
      <w:r w:rsidRPr="003D04A8">
        <w:rPr>
          <w:i/>
          <w:noProof/>
        </w:rPr>
        <w:t xml:space="preserve">Pri vypĺňaní tohto oddielu postupujte podľa informácií v oddiele 3.2.1.3 a v oddiele 4.10.4 (body 394 a 395) CEEAG. </w:t>
      </w:r>
    </w:p>
    <w:p w14:paraId="25E67FF0" w14:textId="77777777" w:rsidR="007D4BDB" w:rsidRPr="00701E4D" w:rsidRDefault="007D4BDB" w:rsidP="007D4BDB">
      <w:pPr>
        <w:pStyle w:val="ManualNumPar1"/>
        <w:rPr>
          <w:noProof/>
        </w:rPr>
      </w:pPr>
      <w:r w:rsidRPr="00447796">
        <w:rPr>
          <w:noProof/>
        </w:rPr>
        <w:t>24.</w:t>
      </w:r>
      <w:r w:rsidRPr="00447796">
        <w:rPr>
          <w:noProof/>
        </w:rPr>
        <w:tab/>
      </w:r>
      <w:r w:rsidRPr="00701E4D">
        <w:rPr>
          <w:noProof/>
        </w:rPr>
        <w:t>Na overenie súladu s bodom 51 CEEAG uveďte nasledovné:</w:t>
      </w:r>
    </w:p>
    <w:p w14:paraId="16C6DB4E" w14:textId="77777777" w:rsidR="007D4BDB" w:rsidRPr="00701E4D" w:rsidRDefault="007D4BDB" w:rsidP="007D4BDB">
      <w:pPr>
        <w:pStyle w:val="Point1"/>
        <w:rPr>
          <w:noProof/>
        </w:rPr>
      </w:pPr>
      <w:r w:rsidRPr="00701E4D">
        <w:rPr>
          <w:noProof/>
          <w:shd w:val="clear" w:color="auto" w:fill="FFFFFF"/>
        </w:rPr>
        <w:t>a)</w:t>
      </w:r>
      <w:r w:rsidRPr="00701E4D">
        <w:rPr>
          <w:noProof/>
          <w:shd w:val="clear" w:color="auto" w:fill="FFFFFF"/>
        </w:rPr>
        <w:tab/>
        <w:t>Na určenie likvidnej medzery</w:t>
      </w:r>
      <w:r w:rsidRPr="00701E4D">
        <w:rPr>
          <w:rStyle w:val="Odkaznapoznmkupodiarou"/>
          <w:noProof/>
        </w:rPr>
        <w:footnoteReference w:id="7"/>
      </w:r>
      <w:r w:rsidRPr="00701E4D">
        <w:rPr>
          <w:noProof/>
          <w:shd w:val="clear" w:color="auto" w:fill="FFFFFF"/>
        </w:rPr>
        <w:t xml:space="preserve"> predložte v rámci faktického scenára a dôveryhodného kontrafaktuálneho scenára</w:t>
      </w:r>
      <w:r w:rsidRPr="00701E4D">
        <w:rPr>
          <w:rStyle w:val="Odkaznapoznmkupodiarou"/>
          <w:noProof/>
        </w:rPr>
        <w:footnoteReference w:id="8"/>
      </w:r>
      <w:r w:rsidRPr="00701E4D">
        <w:rPr>
          <w:noProof/>
          <w:shd w:val="clear" w:color="auto" w:fill="FFFFFF"/>
        </w:rPr>
        <w:t xml:space="preserve"> kvantifikáciu:</w:t>
      </w:r>
    </w:p>
    <w:p w14:paraId="65D803E5" w14:textId="77777777" w:rsidR="007D4BDB" w:rsidRPr="00701E4D" w:rsidRDefault="007D4BDB" w:rsidP="007D4BDB">
      <w:pPr>
        <w:pStyle w:val="Stylei"/>
        <w:numPr>
          <w:ilvl w:val="0"/>
          <w:numId w:val="45"/>
        </w:numPr>
        <w:rPr>
          <w:noProof/>
        </w:rPr>
      </w:pPr>
      <w:r w:rsidRPr="00701E4D">
        <w:rPr>
          <w:noProof/>
          <w:shd w:val="clear" w:color="auto" w:fill="FFFFFF"/>
        </w:rPr>
        <w:t>všetkých hlavných nákladov a príjmov projektu;</w:t>
      </w:r>
    </w:p>
    <w:p w14:paraId="2B1A49C0" w14:textId="77777777" w:rsidR="007D4BDB" w:rsidRPr="00701E4D" w:rsidRDefault="007D4BDB" w:rsidP="007D4BDB">
      <w:pPr>
        <w:pStyle w:val="Stylei"/>
        <w:rPr>
          <w:noProof/>
        </w:rPr>
      </w:pPr>
      <w:r w:rsidRPr="00701E4D">
        <w:rPr>
          <w:noProof/>
          <w:shd w:val="clear" w:color="auto" w:fill="FFFFFF"/>
        </w:rPr>
        <w:t>odhadovaných vážených priemerných kapitálových nákladov príjemcov na diskontovanie hodnoty budúcich peňažných tokov;</w:t>
      </w:r>
    </w:p>
    <w:p w14:paraId="2A8C1142" w14:textId="77777777" w:rsidR="007D4BDB" w:rsidRPr="00701E4D" w:rsidRDefault="007D4BDB" w:rsidP="007D4BDB">
      <w:pPr>
        <w:pStyle w:val="Stylei"/>
        <w:rPr>
          <w:noProof/>
        </w:rPr>
      </w:pPr>
      <w:r w:rsidRPr="00701E4D">
        <w:rPr>
          <w:noProof/>
          <w:shd w:val="clear" w:color="auto" w:fill="FFFFFF"/>
        </w:rPr>
        <w:t>čistej súčasnej hodnoty v rámci faktického a kontrafaktuálneho scenára počas celého trvania projektu:</w:t>
      </w:r>
    </w:p>
    <w:p w14:paraId="5A7EE7E4" w14:textId="77777777" w:rsidR="007D4BDB" w:rsidRPr="00701E4D" w:rsidRDefault="007D4BDB" w:rsidP="007D4BDB">
      <w:pPr>
        <w:tabs>
          <w:tab w:val="left" w:leader="dot" w:pos="9072"/>
        </w:tabs>
        <w:ind w:left="567"/>
        <w:rPr>
          <w:noProof/>
        </w:rPr>
      </w:pPr>
      <w:r w:rsidRPr="00701E4D">
        <w:rPr>
          <w:noProof/>
        </w:rPr>
        <w:tab/>
      </w:r>
    </w:p>
    <w:p w14:paraId="51930AA4" w14:textId="77777777" w:rsidR="007D4BDB" w:rsidRPr="00701E4D" w:rsidRDefault="007D4BDB" w:rsidP="007D4BDB">
      <w:pPr>
        <w:pStyle w:val="Point1"/>
        <w:rPr>
          <w:noProof/>
        </w:rPr>
      </w:pPr>
      <w:r w:rsidRPr="00701E4D">
        <w:rPr>
          <w:noProof/>
          <w:shd w:val="clear" w:color="auto" w:fill="FFFFFF"/>
        </w:rPr>
        <w:t>b)</w:t>
      </w:r>
      <w:r w:rsidRPr="00701E4D">
        <w:rPr>
          <w:noProof/>
          <w:shd w:val="clear" w:color="auto" w:fill="FFFFFF"/>
        </w:rPr>
        <w:tab/>
        <w:t>Dôvody predpokladov použitých pri jednotlivých aspektoch kvantifikácie, pričom vysvetlite a odôvodnite všetky použité metodiky:</w:t>
      </w:r>
    </w:p>
    <w:p w14:paraId="110C163D" w14:textId="77777777" w:rsidR="007D4BDB" w:rsidRPr="00701E4D" w:rsidRDefault="007D4BDB" w:rsidP="007D4BDB">
      <w:pPr>
        <w:tabs>
          <w:tab w:val="left" w:leader="dot" w:pos="9072"/>
        </w:tabs>
        <w:ind w:left="567"/>
        <w:rPr>
          <w:noProof/>
        </w:rPr>
      </w:pPr>
      <w:r w:rsidRPr="00701E4D">
        <w:rPr>
          <w:noProof/>
        </w:rPr>
        <w:tab/>
      </w:r>
    </w:p>
    <w:p w14:paraId="17BDE1C7" w14:textId="77777777" w:rsidR="007D4BDB" w:rsidRPr="00701E4D" w:rsidRDefault="007D4BDB" w:rsidP="007D4BDB">
      <w:pPr>
        <w:pStyle w:val="Text2"/>
        <w:rPr>
          <w:noProof/>
          <w:shd w:val="clear" w:color="auto" w:fill="FFFFFF"/>
        </w:rPr>
      </w:pPr>
      <w:r w:rsidRPr="00701E4D">
        <w:rPr>
          <w:noProof/>
          <w:shd w:val="clear" w:color="auto" w:fill="FFFFFF"/>
        </w:rPr>
        <w:t>V prípadoch individuálnej pomoci a schém prospešných pre veľmi obmedzený počet príjemcov musí členský štát predložiť podporné dôkazy na úrovni podrobného podnikateľského plánu projektu.</w:t>
      </w:r>
    </w:p>
    <w:p w14:paraId="6A8B4AEF" w14:textId="77777777" w:rsidR="007D4BDB" w:rsidRPr="00701E4D" w:rsidRDefault="007D4BDB" w:rsidP="007D4BDB">
      <w:pPr>
        <w:pStyle w:val="Text2"/>
        <w:rPr>
          <w:noProof/>
          <w:shd w:val="clear" w:color="auto" w:fill="FFFFFF"/>
        </w:rPr>
      </w:pPr>
      <w:r w:rsidRPr="00701E4D">
        <w:rPr>
          <w:noProof/>
          <w:shd w:val="clear" w:color="auto" w:fill="FFFFFF"/>
        </w:rPr>
        <w:t>V prípadoch schém pomoci musí členský štát predložiť podporné dôkazy na základe jedného alebo viacerých referenčných projektov:</w:t>
      </w:r>
    </w:p>
    <w:p w14:paraId="7CC6A323" w14:textId="77777777" w:rsidR="007D4BDB" w:rsidRPr="00701E4D" w:rsidRDefault="007D4BDB" w:rsidP="007D4BDB">
      <w:pPr>
        <w:tabs>
          <w:tab w:val="left" w:leader="dot" w:pos="9072"/>
        </w:tabs>
        <w:ind w:left="567"/>
        <w:rPr>
          <w:noProof/>
        </w:rPr>
      </w:pPr>
      <w:r w:rsidRPr="00701E4D">
        <w:rPr>
          <w:noProof/>
        </w:rPr>
        <w:tab/>
      </w:r>
    </w:p>
    <w:p w14:paraId="6B6D80A1" w14:textId="77777777" w:rsidR="007D4BDB" w:rsidRPr="00701E4D" w:rsidRDefault="007D4BDB" w:rsidP="007D4BDB">
      <w:pPr>
        <w:pStyle w:val="ManualNumPar1"/>
        <w:rPr>
          <w:noProof/>
        </w:rPr>
      </w:pPr>
      <w:r w:rsidRPr="00447796">
        <w:rPr>
          <w:noProof/>
        </w:rPr>
        <w:t>25.</w:t>
      </w:r>
      <w:r w:rsidRPr="00447796">
        <w:rPr>
          <w:noProof/>
        </w:rPr>
        <w:tab/>
      </w:r>
      <w:r w:rsidRPr="00701E4D">
        <w:rPr>
          <w:noProof/>
        </w:rPr>
        <w:t>Ak neexistuje alternatívny projekt, v záujme toho, aby mohla Komisia overiť, že výška pomoci nepresahuje minimum potrebné na to, aby bol podporovaný projekt dostatočne ziskový</w:t>
      </w:r>
      <w:r w:rsidRPr="00701E4D">
        <w:rPr>
          <w:rStyle w:val="Odkaznapoznmkupodiarou"/>
          <w:noProof/>
          <w:lang w:eastAsia="en-GB"/>
        </w:rPr>
        <w:footnoteReference w:id="9"/>
      </w:r>
      <w:r w:rsidRPr="00701E4D">
        <w:rPr>
          <w:noProof/>
        </w:rPr>
        <w:t>, uveďte tieto informácie:</w:t>
      </w:r>
    </w:p>
    <w:p w14:paraId="62EC97B3" w14:textId="77777777" w:rsidR="007D4BDB" w:rsidRPr="00701E4D" w:rsidRDefault="007D4BDB" w:rsidP="007D4BDB">
      <w:pPr>
        <w:pStyle w:val="Point1"/>
        <w:rPr>
          <w:noProof/>
        </w:rPr>
      </w:pPr>
      <w:r w:rsidRPr="00701E4D">
        <w:rPr>
          <w:noProof/>
        </w:rPr>
        <w:t>a)</w:t>
      </w:r>
      <w:r w:rsidRPr="00701E4D">
        <w:rPr>
          <w:noProof/>
        </w:rPr>
        <w:tab/>
        <w:t>vnútornú mieru návratnosti (IRR), ktorá zodpovedá špecifickej referenčnej hodnote alebo minimálnej miere návratnosti pre dané odvetvie alebo podnik, alebo</w:t>
      </w:r>
    </w:p>
    <w:p w14:paraId="29848791" w14:textId="77777777" w:rsidR="007D4BDB" w:rsidRPr="00701E4D" w:rsidRDefault="007D4BDB" w:rsidP="007D4BDB">
      <w:pPr>
        <w:pStyle w:val="Point1"/>
        <w:rPr>
          <w:noProof/>
        </w:rPr>
      </w:pPr>
      <w:r w:rsidRPr="00701E4D">
        <w:rPr>
          <w:noProof/>
        </w:rPr>
        <w:t>b)</w:t>
      </w:r>
      <w:r w:rsidRPr="00701E4D">
        <w:rPr>
          <w:noProof/>
        </w:rPr>
        <w:tab/>
        <w:t>bežné miery návratnosti, ktoré príjemca vyžaduje v iných investičných projektoch podobného druhu, a jeho celkové kapitálové náklady alebo</w:t>
      </w:r>
    </w:p>
    <w:p w14:paraId="5C51A1D6" w14:textId="77777777" w:rsidR="007D4BDB" w:rsidRPr="00701E4D" w:rsidRDefault="007D4BDB" w:rsidP="007D4BDB">
      <w:pPr>
        <w:pStyle w:val="Point1"/>
        <w:rPr>
          <w:noProof/>
        </w:rPr>
      </w:pPr>
      <w:r w:rsidRPr="00701E4D">
        <w:rPr>
          <w:noProof/>
        </w:rPr>
        <w:lastRenderedPageBreak/>
        <w:t>c)</w:t>
      </w:r>
      <w:r w:rsidRPr="00701E4D">
        <w:rPr>
          <w:noProof/>
        </w:rPr>
        <w:tab/>
        <w:t>miery návratnosti bežne zaznamenávané v príslušnom odvetví alebo</w:t>
      </w:r>
    </w:p>
    <w:p w14:paraId="42BA789E" w14:textId="77777777" w:rsidR="007D4BDB" w:rsidRPr="00701E4D" w:rsidRDefault="007D4BDB" w:rsidP="007D4BDB">
      <w:pPr>
        <w:pStyle w:val="Point1"/>
        <w:rPr>
          <w:noProof/>
        </w:rPr>
      </w:pPr>
      <w:r w:rsidRPr="00701E4D">
        <w:rPr>
          <w:noProof/>
        </w:rPr>
        <w:t>d)</w:t>
      </w:r>
      <w:r w:rsidRPr="00701E4D">
        <w:rPr>
          <w:noProof/>
        </w:rPr>
        <w:tab/>
        <w:t>akékoľvek ďalšie informácie, ktoré odôvodňujú, že výška pomoci nepresahuje minimum potrebné na to, aby bol podporovaný projekt dostatočne ziskový:</w:t>
      </w:r>
    </w:p>
    <w:p w14:paraId="06B21221" w14:textId="77777777" w:rsidR="007D4BDB" w:rsidRPr="00701E4D" w:rsidRDefault="007D4BDB" w:rsidP="007D4BDB">
      <w:pPr>
        <w:tabs>
          <w:tab w:val="left" w:leader="dot" w:pos="9072"/>
        </w:tabs>
        <w:ind w:left="567"/>
        <w:rPr>
          <w:noProof/>
        </w:rPr>
      </w:pPr>
      <w:r w:rsidRPr="00701E4D">
        <w:rPr>
          <w:noProof/>
        </w:rPr>
        <w:tab/>
      </w:r>
    </w:p>
    <w:p w14:paraId="786E2F76" w14:textId="77777777" w:rsidR="007D4BDB" w:rsidRPr="003D04A8" w:rsidRDefault="007D4BDB" w:rsidP="007D4BDB">
      <w:pPr>
        <w:pStyle w:val="ManualHeading3"/>
        <w:rPr>
          <w:noProof/>
        </w:rPr>
      </w:pPr>
      <w:r w:rsidRPr="00447796">
        <w:rPr>
          <w:noProof/>
        </w:rPr>
        <w:t>2.1.3.</w:t>
      </w:r>
      <w:r w:rsidRPr="00447796">
        <w:rPr>
          <w:noProof/>
        </w:rPr>
        <w:tab/>
      </w:r>
      <w:r w:rsidRPr="003D04A8">
        <w:rPr>
          <w:noProof/>
        </w:rPr>
        <w:t>Kumulácia</w:t>
      </w:r>
    </w:p>
    <w:p w14:paraId="361FB9E7" w14:textId="77777777" w:rsidR="007D4BDB" w:rsidRPr="003D04A8" w:rsidRDefault="007D4BDB" w:rsidP="007D4BDB">
      <w:pPr>
        <w:rPr>
          <w:i/>
          <w:iCs/>
          <w:noProof/>
        </w:rPr>
      </w:pPr>
      <w:r w:rsidRPr="003D04A8">
        <w:rPr>
          <w:i/>
          <w:noProof/>
        </w:rPr>
        <w:t>Pri vypĺňaní tohto oddielu postupujte podľa informácií v bodoch 56 – 57 CEEAG.</w:t>
      </w:r>
    </w:p>
    <w:p w14:paraId="7A2BAC74" w14:textId="77777777" w:rsidR="007D4BDB" w:rsidRPr="00701E4D" w:rsidRDefault="007D4BDB" w:rsidP="007D4BDB">
      <w:pPr>
        <w:pStyle w:val="ManualNumPar1"/>
        <w:rPr>
          <w:noProof/>
        </w:rPr>
      </w:pPr>
      <w:r w:rsidRPr="00447796">
        <w:rPr>
          <w:noProof/>
        </w:rPr>
        <w:t>26.</w:t>
      </w:r>
      <w:r w:rsidRPr="00447796">
        <w:rPr>
          <w:noProof/>
        </w:rPr>
        <w:tab/>
      </w:r>
      <w:r w:rsidRPr="00701E4D">
        <w:rPr>
          <w:noProof/>
        </w:rPr>
        <w:t xml:space="preserve">Na overenie súladu s bodom 56 CEEAG objasnite, či sa pomoc v rámci notifikovaného opatrenia/notifikovaných opatrení môže poskytovať súbežne v rámci viacerých schém pomoci alebo kumulovať s pomocou </w:t>
      </w:r>
      <w:r w:rsidRPr="003D04A8">
        <w:rPr>
          <w:i/>
          <w:noProof/>
        </w:rPr>
        <w:t>ad hoc</w:t>
      </w:r>
      <w:r w:rsidRPr="00701E4D">
        <w:rPr>
          <w:noProof/>
        </w:rPr>
        <w:t xml:space="preserve"> alebo </w:t>
      </w:r>
      <w:r w:rsidRPr="003D04A8">
        <w:rPr>
          <w:i/>
          <w:noProof/>
        </w:rPr>
        <w:t>de minimis</w:t>
      </w:r>
      <w:r w:rsidRPr="00701E4D">
        <w:rPr>
          <w:noProof/>
        </w:rPr>
        <w:t xml:space="preserve"> v súvislosti s tými istými oprávnenými nákladmi. V takom prípade uveďte podrobnosti o týchto schémach pomoci, pomoci </w:t>
      </w:r>
      <w:r w:rsidRPr="003D04A8">
        <w:rPr>
          <w:i/>
          <w:noProof/>
        </w:rPr>
        <w:t>ad hoc</w:t>
      </w:r>
      <w:r w:rsidRPr="00701E4D">
        <w:rPr>
          <w:noProof/>
        </w:rPr>
        <w:t xml:space="preserve"> alebo pomoci </w:t>
      </w:r>
      <w:r w:rsidRPr="003D04A8">
        <w:rPr>
          <w:i/>
          <w:noProof/>
        </w:rPr>
        <w:t>de minimis</w:t>
      </w:r>
      <w:r w:rsidRPr="00701E4D">
        <w:rPr>
          <w:noProof/>
        </w:rPr>
        <w:t xml:space="preserve"> a o tom, ako sa bude pomoc kumulovať:</w:t>
      </w:r>
    </w:p>
    <w:p w14:paraId="7883E0AA" w14:textId="77777777" w:rsidR="007D4BDB" w:rsidRPr="00701E4D" w:rsidRDefault="007D4BDB" w:rsidP="007D4BDB">
      <w:pPr>
        <w:tabs>
          <w:tab w:val="left" w:leader="dot" w:pos="9072"/>
        </w:tabs>
        <w:ind w:left="567"/>
        <w:rPr>
          <w:noProof/>
        </w:rPr>
      </w:pPr>
      <w:r w:rsidRPr="00701E4D">
        <w:rPr>
          <w:noProof/>
        </w:rPr>
        <w:tab/>
      </w:r>
    </w:p>
    <w:p w14:paraId="764EC3C7" w14:textId="77777777" w:rsidR="007D4BDB" w:rsidRPr="00701E4D" w:rsidRDefault="007D4BDB" w:rsidP="007D4BDB">
      <w:pPr>
        <w:pStyle w:val="ManualNumPar1"/>
        <w:rPr>
          <w:noProof/>
        </w:rPr>
      </w:pPr>
      <w:r w:rsidRPr="00447796">
        <w:rPr>
          <w:noProof/>
        </w:rPr>
        <w:t>27.</w:t>
      </w:r>
      <w:r w:rsidRPr="00447796">
        <w:rPr>
          <w:noProof/>
        </w:rPr>
        <w:tab/>
      </w:r>
      <w:r w:rsidRPr="00701E4D">
        <w:rPr>
          <w:noProof/>
        </w:rPr>
        <w:t>Ak sa na notifikované opatrenie/opatrenia pomoci uplatňuje bod 56 CEEAG, zdôvodnite, prečo celková výška pomoci poskytnutej v rámci notifikovaného opatrenia/notifikovaných opatrení na projekt alebo činnosť nevedie k nadmernej kompenzácii alebo neprekračuje maximálnu výšku pomoci povolenú podľa bodu 394 CEEAG. Za každé opatrenie, pri ktorom možno pomoc poskytnutú v rámci notifikovaného opatrenia/notifikovaných opatrení pomoci kumulovať, uveďte metódu použitú na zabezpečenie súladu s podmienkami stanovenými v bode 56 CEEAG:</w:t>
      </w:r>
    </w:p>
    <w:p w14:paraId="46B9AA65" w14:textId="77777777" w:rsidR="007D4BDB" w:rsidRPr="00701E4D" w:rsidRDefault="007D4BDB" w:rsidP="007D4BDB">
      <w:pPr>
        <w:tabs>
          <w:tab w:val="left" w:leader="dot" w:pos="9072"/>
        </w:tabs>
        <w:ind w:left="567"/>
        <w:rPr>
          <w:noProof/>
        </w:rPr>
      </w:pPr>
      <w:r w:rsidRPr="00701E4D">
        <w:rPr>
          <w:noProof/>
        </w:rPr>
        <w:tab/>
      </w:r>
    </w:p>
    <w:p w14:paraId="5BCABD55" w14:textId="77777777" w:rsidR="007D4BDB" w:rsidRPr="00701E4D" w:rsidRDefault="007D4BDB" w:rsidP="007D4BDB">
      <w:pPr>
        <w:pStyle w:val="ManualNumPar1"/>
        <w:rPr>
          <w:noProof/>
        </w:rPr>
      </w:pPr>
      <w:r w:rsidRPr="00447796">
        <w:rPr>
          <w:noProof/>
        </w:rPr>
        <w:t>28.</w:t>
      </w:r>
      <w:r w:rsidRPr="00447796">
        <w:rPr>
          <w:noProof/>
        </w:rPr>
        <w:tab/>
      </w:r>
      <w:r w:rsidRPr="00701E4D">
        <w:rPr>
          <w:noProof/>
        </w:rPr>
        <w:t>V prípade, že sa uplatňuje bod 57 CEEAG, t. j. pomoc poskytnutá v rámci notifikovaného opatrenia/notifikovaných opatrení sa kombinuje s centrálne spravovaným financovaním z prostriedkov Únie</w:t>
      </w:r>
      <w:r w:rsidRPr="00701E4D">
        <w:rPr>
          <w:rStyle w:val="Odkaznapoznmkupodiarou"/>
          <w:noProof/>
          <w:lang w:eastAsia="en-GB"/>
        </w:rPr>
        <w:footnoteReference w:id="10"/>
      </w:r>
      <w:r w:rsidRPr="00701E4D">
        <w:rPr>
          <w:noProof/>
        </w:rPr>
        <w:t>, zdôvodnite, prečo celková výška verejného financovania poskytnutého v súvislosti s rovnakými oprávnenými nákladmi nevedie k nadmernej kompenzácii:</w:t>
      </w:r>
    </w:p>
    <w:p w14:paraId="0BCE3B27" w14:textId="77777777" w:rsidR="007D4BDB" w:rsidRPr="00701E4D" w:rsidRDefault="007D4BDB" w:rsidP="007D4BDB">
      <w:pPr>
        <w:tabs>
          <w:tab w:val="left" w:leader="dot" w:pos="9072"/>
        </w:tabs>
        <w:ind w:left="567"/>
        <w:rPr>
          <w:noProof/>
        </w:rPr>
      </w:pPr>
      <w:r w:rsidRPr="00701E4D">
        <w:rPr>
          <w:noProof/>
        </w:rPr>
        <w:tab/>
      </w:r>
    </w:p>
    <w:p w14:paraId="01BFEF69" w14:textId="77777777" w:rsidR="007D4BDB" w:rsidRPr="003D04A8" w:rsidRDefault="007D4BDB" w:rsidP="007D4BDB">
      <w:pPr>
        <w:pStyle w:val="ManualHeading3"/>
        <w:rPr>
          <w:noProof/>
        </w:rPr>
      </w:pPr>
      <w:r w:rsidRPr="00447796">
        <w:rPr>
          <w:noProof/>
        </w:rPr>
        <w:t>2.1.4.</w:t>
      </w:r>
      <w:r w:rsidRPr="00447796">
        <w:rPr>
          <w:noProof/>
        </w:rPr>
        <w:tab/>
      </w:r>
      <w:r w:rsidRPr="003D04A8">
        <w:rPr>
          <w:noProof/>
        </w:rPr>
        <w:t>Transparentnosť</w:t>
      </w:r>
    </w:p>
    <w:p w14:paraId="3B503103" w14:textId="77777777" w:rsidR="007D4BDB" w:rsidRPr="003D04A8" w:rsidRDefault="007D4BDB" w:rsidP="007D4BDB">
      <w:pPr>
        <w:rPr>
          <w:i/>
          <w:noProof/>
        </w:rPr>
      </w:pPr>
      <w:r w:rsidRPr="003D04A8">
        <w:rPr>
          <w:i/>
          <w:noProof/>
        </w:rPr>
        <w:t xml:space="preserve">Pri vypĺňaní tohto oddielu postupujte podľa informácií v oddiele 3.2.1.4 (body 58 – 61) CEEAG. </w:t>
      </w:r>
    </w:p>
    <w:p w14:paraId="0E751DD5" w14:textId="77777777" w:rsidR="007D4BDB" w:rsidRPr="00701E4D" w:rsidRDefault="007D4BDB" w:rsidP="007D4BDB">
      <w:pPr>
        <w:pStyle w:val="ManualNumPar1"/>
        <w:rPr>
          <w:rFonts w:eastAsia="Times New Roman"/>
          <w:noProof/>
          <w:szCs w:val="24"/>
        </w:rPr>
      </w:pPr>
      <w:r w:rsidRPr="00447796">
        <w:rPr>
          <w:noProof/>
        </w:rPr>
        <w:t>29.</w:t>
      </w:r>
      <w:r w:rsidRPr="00447796">
        <w:rPr>
          <w:noProof/>
        </w:rPr>
        <w:tab/>
      </w:r>
      <w:r w:rsidRPr="00701E4D">
        <w:rPr>
          <w:noProof/>
        </w:rPr>
        <w:t>Potvrďte, že členský štát splní požiadavky na transparentnosť stanovené v bodoch 58 – 61 CEEAG:</w:t>
      </w:r>
    </w:p>
    <w:p w14:paraId="3E062169" w14:textId="77777777" w:rsidR="007D4BDB" w:rsidRPr="00701E4D" w:rsidRDefault="007D4BDB" w:rsidP="007D4BDB">
      <w:pPr>
        <w:tabs>
          <w:tab w:val="left" w:leader="dot" w:pos="9072"/>
        </w:tabs>
        <w:ind w:left="567"/>
        <w:rPr>
          <w:noProof/>
        </w:rPr>
      </w:pPr>
      <w:r w:rsidRPr="00701E4D">
        <w:rPr>
          <w:noProof/>
        </w:rPr>
        <w:tab/>
      </w:r>
    </w:p>
    <w:p w14:paraId="0C3C995B" w14:textId="77777777" w:rsidR="007D4BDB" w:rsidRPr="00701E4D" w:rsidRDefault="007D4BDB" w:rsidP="007D4BDB">
      <w:pPr>
        <w:pStyle w:val="ManualNumPar1"/>
        <w:rPr>
          <w:noProof/>
        </w:rPr>
      </w:pPr>
      <w:r w:rsidRPr="00447796">
        <w:rPr>
          <w:noProof/>
        </w:rPr>
        <w:t>30.</w:t>
      </w:r>
      <w:r w:rsidRPr="00447796">
        <w:rPr>
          <w:noProof/>
        </w:rPr>
        <w:tab/>
      </w:r>
      <w:r w:rsidRPr="00701E4D">
        <w:rPr>
          <w:noProof/>
        </w:rPr>
        <w:t xml:space="preserve">Uveďte internetový odkaz, prostredníctvom ktorého bude zverejnené úplné znenie schválenej schémy pomoci alebo rozhodnutia o poskytnutí individuálnej pomoci a jeho vykonávacích ustanovení a informácie o každej individuálnej pomoci poskytnutej </w:t>
      </w:r>
      <w:r w:rsidRPr="003D04A8">
        <w:rPr>
          <w:i/>
          <w:noProof/>
        </w:rPr>
        <w:t>ad hoc</w:t>
      </w:r>
      <w:r w:rsidRPr="00701E4D">
        <w:rPr>
          <w:noProof/>
        </w:rPr>
        <w:t xml:space="preserve"> alebo v rámci schémy pomoci schválenej na základe CEEAG a presahujúcej 100 000 EUR:</w:t>
      </w:r>
    </w:p>
    <w:p w14:paraId="0BD3F43B" w14:textId="77777777" w:rsidR="007D4BDB" w:rsidRPr="00701E4D" w:rsidRDefault="007D4BDB" w:rsidP="007D4BDB">
      <w:pPr>
        <w:tabs>
          <w:tab w:val="left" w:leader="dot" w:pos="9072"/>
        </w:tabs>
        <w:ind w:left="567"/>
        <w:rPr>
          <w:noProof/>
        </w:rPr>
      </w:pPr>
      <w:r w:rsidRPr="00701E4D">
        <w:rPr>
          <w:noProof/>
        </w:rPr>
        <w:lastRenderedPageBreak/>
        <w:tab/>
      </w:r>
    </w:p>
    <w:p w14:paraId="5D4D2970" w14:textId="77777777" w:rsidR="007D4BDB" w:rsidRPr="003D04A8" w:rsidRDefault="007D4BDB" w:rsidP="007D4BDB">
      <w:pPr>
        <w:pStyle w:val="ManualHeading2"/>
        <w:rPr>
          <w:noProof/>
        </w:rPr>
      </w:pPr>
      <w:r w:rsidRPr="00447796">
        <w:rPr>
          <w:noProof/>
        </w:rPr>
        <w:t>2.2.</w:t>
      </w:r>
      <w:r w:rsidRPr="00447796">
        <w:rPr>
          <w:noProof/>
        </w:rPr>
        <w:tab/>
      </w:r>
      <w:r w:rsidRPr="003D04A8">
        <w:rPr>
          <w:noProof/>
        </w:rPr>
        <w:t>Zabránenie neprípustným negatívnym vplyvom pomoci na hospodársku súťaž a obchod a vyrovnávanie</w:t>
      </w:r>
    </w:p>
    <w:p w14:paraId="743B9BC1" w14:textId="77777777" w:rsidR="007D4BDB" w:rsidRPr="003D04A8" w:rsidRDefault="007D4BDB" w:rsidP="007D4BDB">
      <w:pPr>
        <w:rPr>
          <w:i/>
          <w:noProof/>
        </w:rPr>
      </w:pPr>
      <w:r w:rsidRPr="003D04A8">
        <w:rPr>
          <w:i/>
          <w:noProof/>
        </w:rPr>
        <w:t xml:space="preserve">Pri vypĺňaní tohto oddielu postupujte podľa informácií v oddiele 4.10.5 (body 396 – 398) CEEAG. </w:t>
      </w:r>
    </w:p>
    <w:p w14:paraId="2DD334CC" w14:textId="77777777" w:rsidR="007D4BDB" w:rsidRPr="00701E4D" w:rsidRDefault="007D4BDB" w:rsidP="007D4BDB">
      <w:pPr>
        <w:pStyle w:val="ManualNumPar1"/>
        <w:rPr>
          <w:noProof/>
        </w:rPr>
      </w:pPr>
      <w:r w:rsidRPr="00447796">
        <w:rPr>
          <w:noProof/>
        </w:rPr>
        <w:t>31.</w:t>
      </w:r>
      <w:r w:rsidRPr="00447796">
        <w:rPr>
          <w:noProof/>
        </w:rPr>
        <w:tab/>
      </w:r>
      <w:r w:rsidRPr="00701E4D">
        <w:rPr>
          <w:noProof/>
        </w:rPr>
        <w:t xml:space="preserve">Ak systémy centralizovaného zásobovania teplom a chladom využívajú najviac znečisťujúce fosílne palivá, ako je uhlie, lignit, ropa a nafta, vysvetlite, či sú splnené tieto kumulatívne podmienky podľa bodu 396 CEEAG: </w:t>
      </w:r>
    </w:p>
    <w:p w14:paraId="1A9D4F5A" w14:textId="77777777" w:rsidR="007D4BDB" w:rsidRPr="00701E4D" w:rsidRDefault="007D4BDB" w:rsidP="007D4BDB">
      <w:pPr>
        <w:pStyle w:val="Point1"/>
        <w:rPr>
          <w:noProof/>
        </w:rPr>
      </w:pPr>
      <w:r w:rsidRPr="00701E4D">
        <w:rPr>
          <w:noProof/>
        </w:rPr>
        <w:t>a)</w:t>
      </w:r>
      <w:r w:rsidRPr="00701E4D">
        <w:rPr>
          <w:noProof/>
        </w:rPr>
        <w:tab/>
        <w:t>pomoc sa obmedzuje na investície do distribučnej sústavy:</w:t>
      </w:r>
    </w:p>
    <w:p w14:paraId="1FF9EFFC" w14:textId="77777777" w:rsidR="007D4BDB" w:rsidRPr="00701E4D" w:rsidRDefault="007D4BDB" w:rsidP="007D4BDB">
      <w:pPr>
        <w:tabs>
          <w:tab w:val="left" w:leader="dot" w:pos="9072"/>
        </w:tabs>
        <w:ind w:left="567"/>
        <w:rPr>
          <w:noProof/>
        </w:rPr>
      </w:pPr>
      <w:r w:rsidRPr="00701E4D">
        <w:rPr>
          <w:noProof/>
        </w:rPr>
        <w:tab/>
      </w:r>
    </w:p>
    <w:p w14:paraId="52786A8A" w14:textId="77777777" w:rsidR="007D4BDB" w:rsidRPr="00701E4D" w:rsidRDefault="007D4BDB" w:rsidP="007D4BDB">
      <w:pPr>
        <w:pStyle w:val="Point1"/>
        <w:rPr>
          <w:noProof/>
        </w:rPr>
      </w:pPr>
      <w:r w:rsidRPr="00701E4D">
        <w:rPr>
          <w:noProof/>
        </w:rPr>
        <w:t>b)</w:t>
      </w:r>
      <w:r w:rsidRPr="00701E4D">
        <w:rPr>
          <w:noProof/>
        </w:rPr>
        <w:tab/>
        <w:t xml:space="preserve">distribučná sústava už je vhodná na prenos tepla a chladu vyrábaného z obnoviteľných zdrojov energie, odpadového tepla alebo uhlíkovo neutrálnych zdrojov: </w:t>
      </w:r>
    </w:p>
    <w:p w14:paraId="709C21B9" w14:textId="77777777" w:rsidR="007D4BDB" w:rsidRPr="00701E4D" w:rsidRDefault="007D4BDB" w:rsidP="007D4BDB">
      <w:pPr>
        <w:tabs>
          <w:tab w:val="left" w:leader="dot" w:pos="9072"/>
        </w:tabs>
        <w:ind w:left="567"/>
        <w:rPr>
          <w:noProof/>
        </w:rPr>
      </w:pPr>
      <w:r w:rsidRPr="00701E4D">
        <w:rPr>
          <w:noProof/>
        </w:rPr>
        <w:tab/>
      </w:r>
    </w:p>
    <w:p w14:paraId="30C69E22" w14:textId="77777777" w:rsidR="007D4BDB" w:rsidRPr="00701E4D" w:rsidRDefault="007D4BDB" w:rsidP="007D4BDB">
      <w:pPr>
        <w:pStyle w:val="Point1"/>
        <w:rPr>
          <w:noProof/>
        </w:rPr>
      </w:pPr>
      <w:r w:rsidRPr="00701E4D">
        <w:rPr>
          <w:noProof/>
        </w:rPr>
        <w:t>c)</w:t>
      </w:r>
      <w:r w:rsidRPr="00701E4D">
        <w:rPr>
          <w:noProof/>
        </w:rPr>
        <w:tab/>
        <w:t xml:space="preserve">pomoc nemá za následok zvýšenú výrobu energie z najviac znečisťujúcich fosílnych palív (napríklad pripojenie ďalších odberateľov): </w:t>
      </w:r>
    </w:p>
    <w:p w14:paraId="4EAD55CB" w14:textId="77777777" w:rsidR="007D4BDB" w:rsidRPr="00701E4D" w:rsidRDefault="007D4BDB" w:rsidP="007D4BDB">
      <w:pPr>
        <w:tabs>
          <w:tab w:val="left" w:leader="dot" w:pos="9072"/>
        </w:tabs>
        <w:ind w:left="567"/>
        <w:rPr>
          <w:noProof/>
        </w:rPr>
      </w:pPr>
      <w:r w:rsidRPr="00701E4D">
        <w:rPr>
          <w:noProof/>
        </w:rPr>
        <w:tab/>
      </w:r>
    </w:p>
    <w:p w14:paraId="6AC1259C" w14:textId="77777777" w:rsidR="007D4BDB" w:rsidRPr="00701E4D" w:rsidRDefault="007D4BDB" w:rsidP="007D4BDB">
      <w:pPr>
        <w:pStyle w:val="Point1"/>
        <w:rPr>
          <w:noProof/>
        </w:rPr>
      </w:pPr>
      <w:r w:rsidRPr="00701E4D">
        <w:rPr>
          <w:noProof/>
        </w:rPr>
        <w:t>d)</w:t>
      </w:r>
      <w:r w:rsidRPr="00701E4D">
        <w:rPr>
          <w:noProof/>
        </w:rPr>
        <w:tab/>
        <w:t>existuje jasný časový harmonogram zahŕňajúci pevné záväzky týkajúce sa odklonu od najviac znečisťujúcich fosílnych palív so zreteľom na cieľ Únie v oblasti klímy do roku 2030 a cieľ Únie v oblasti klimatickej neutrality do roku 2050 (pozri príklad v poznámke pod čiarou č. 156 CEEAG):</w:t>
      </w:r>
    </w:p>
    <w:p w14:paraId="0ECCBBD9" w14:textId="77777777" w:rsidR="007D4BDB" w:rsidRPr="00701E4D" w:rsidRDefault="007D4BDB" w:rsidP="007D4BDB">
      <w:pPr>
        <w:tabs>
          <w:tab w:val="left" w:leader="dot" w:pos="9072"/>
        </w:tabs>
        <w:ind w:left="567"/>
        <w:rPr>
          <w:noProof/>
        </w:rPr>
      </w:pPr>
      <w:r w:rsidRPr="00701E4D">
        <w:rPr>
          <w:noProof/>
        </w:rPr>
        <w:tab/>
      </w:r>
    </w:p>
    <w:p w14:paraId="5F4F3611" w14:textId="77777777" w:rsidR="007D4BDB" w:rsidRPr="00701E4D" w:rsidRDefault="007D4BDB" w:rsidP="007D4BDB">
      <w:pPr>
        <w:pStyle w:val="ManualNumPar1"/>
        <w:rPr>
          <w:noProof/>
        </w:rPr>
      </w:pPr>
      <w:r w:rsidRPr="00447796">
        <w:rPr>
          <w:noProof/>
        </w:rPr>
        <w:t>32.</w:t>
      </w:r>
      <w:r w:rsidRPr="00447796">
        <w:rPr>
          <w:noProof/>
        </w:rPr>
        <w:tab/>
      </w:r>
      <w:r w:rsidRPr="00701E4D">
        <w:rPr>
          <w:noProof/>
        </w:rPr>
        <w:t xml:space="preserve">Ak projekt stimuluje nové investície do zemného plynu alebo prevádzku zariadení na výrobu energie s využitím zemného plynu, vysvetlite, či projekt v súlade s bodom 397 CEEAG zabezpečuje: </w:t>
      </w:r>
    </w:p>
    <w:p w14:paraId="7CDA19E4" w14:textId="77777777" w:rsidR="007D4BDB" w:rsidRPr="00701E4D" w:rsidRDefault="007D4BDB" w:rsidP="007D4BDB">
      <w:pPr>
        <w:pStyle w:val="Point1"/>
        <w:rPr>
          <w:noProof/>
        </w:rPr>
      </w:pPr>
      <w:r w:rsidRPr="00701E4D">
        <w:rPr>
          <w:noProof/>
        </w:rPr>
        <w:t>a)</w:t>
      </w:r>
      <w:r w:rsidRPr="00701E4D">
        <w:rPr>
          <w:noProof/>
        </w:rPr>
        <w:tab/>
        <w:t>prispievanie pomoci k dosiahnutiu cieľa Únie v oblasti klímy do roku 2030 a cieľa Únie v oblasti klimatickej neutrality do roku 2050;</w:t>
      </w:r>
    </w:p>
    <w:p w14:paraId="5620395C" w14:textId="77777777" w:rsidR="007D4BDB" w:rsidRPr="00701E4D" w:rsidRDefault="007D4BDB" w:rsidP="007D4BDB">
      <w:pPr>
        <w:pStyle w:val="Point1"/>
        <w:rPr>
          <w:noProof/>
        </w:rPr>
      </w:pPr>
      <w:r w:rsidRPr="00701E4D">
        <w:rPr>
          <w:noProof/>
        </w:rPr>
        <w:t>b)</w:t>
      </w:r>
      <w:r w:rsidRPr="00701E4D">
        <w:rPr>
          <w:noProof/>
        </w:rPr>
        <w:tab/>
        <w:t>to, ako sa zabráni efektu odkázanosti na výrobu energie s využitím plynu;</w:t>
      </w:r>
    </w:p>
    <w:p w14:paraId="2D45703D" w14:textId="77777777" w:rsidR="007D4BDB" w:rsidRPr="00701E4D" w:rsidRDefault="007D4BDB" w:rsidP="007D4BDB">
      <w:pPr>
        <w:pStyle w:val="Point1"/>
        <w:rPr>
          <w:noProof/>
        </w:rPr>
      </w:pPr>
      <w:r w:rsidRPr="00701E4D">
        <w:rPr>
          <w:noProof/>
        </w:rPr>
        <w:t>c)</w:t>
      </w:r>
      <w:r w:rsidRPr="00701E4D">
        <w:rPr>
          <w:noProof/>
        </w:rPr>
        <w:tab/>
        <w:t>to, ako pomoc nevytlačí investície do ekologickejších alternatív, ktoré sú už na trhu dostupné, a nebude brániť vývoju čistejších technológií a ich využívaniu:</w:t>
      </w:r>
    </w:p>
    <w:p w14:paraId="5BEFAAA0" w14:textId="77777777" w:rsidR="007D4BDB" w:rsidRPr="00701E4D" w:rsidRDefault="007D4BDB" w:rsidP="007D4BDB">
      <w:pPr>
        <w:tabs>
          <w:tab w:val="left" w:leader="dot" w:pos="9072"/>
        </w:tabs>
        <w:ind w:left="567"/>
        <w:rPr>
          <w:noProof/>
        </w:rPr>
      </w:pPr>
      <w:r w:rsidRPr="00701E4D">
        <w:rPr>
          <w:noProof/>
        </w:rPr>
        <w:tab/>
      </w:r>
    </w:p>
    <w:p w14:paraId="1471AD7F" w14:textId="77777777" w:rsidR="007D4BDB" w:rsidRPr="00701E4D" w:rsidRDefault="007D4BDB" w:rsidP="007D4BDB">
      <w:pPr>
        <w:pStyle w:val="ManualNumPar1"/>
        <w:rPr>
          <w:noProof/>
        </w:rPr>
      </w:pPr>
      <w:r w:rsidRPr="00447796">
        <w:rPr>
          <w:noProof/>
        </w:rPr>
        <w:t>33.</w:t>
      </w:r>
      <w:r w:rsidRPr="00447796">
        <w:rPr>
          <w:noProof/>
        </w:rPr>
        <w:tab/>
      </w:r>
      <w:r w:rsidRPr="00701E4D">
        <w:rPr>
          <w:noProof/>
        </w:rPr>
        <w:t>Na overenie súladu s bodom 398 CEEAG objasnite, či je systém centralizovaného zásobovania teplom a chladom otvorený prístupu tretích strán a či by bolo možné využívať udržateľné alternatívne riešenia vykurovania:</w:t>
      </w:r>
    </w:p>
    <w:p w14:paraId="68198DCB" w14:textId="77777777" w:rsidR="007D4BDB" w:rsidRPr="00701E4D" w:rsidRDefault="007D4BDB" w:rsidP="007D4BDB">
      <w:pPr>
        <w:tabs>
          <w:tab w:val="left" w:leader="dot" w:pos="9072"/>
        </w:tabs>
        <w:ind w:left="567"/>
        <w:rPr>
          <w:noProof/>
        </w:rPr>
      </w:pPr>
      <w:r w:rsidRPr="00701E4D">
        <w:rPr>
          <w:noProof/>
        </w:rPr>
        <w:tab/>
      </w:r>
    </w:p>
    <w:p w14:paraId="3761887A" w14:textId="77777777" w:rsidR="007D4BDB" w:rsidRPr="003D04A8" w:rsidRDefault="007D4BDB" w:rsidP="007D4BDB">
      <w:pPr>
        <w:pStyle w:val="ManualHeading2"/>
        <w:rPr>
          <w:noProof/>
        </w:rPr>
      </w:pPr>
      <w:r w:rsidRPr="003D04A8">
        <w:rPr>
          <w:noProof/>
        </w:rPr>
        <w:t>Oddiel C: Hodnotenie</w:t>
      </w:r>
    </w:p>
    <w:p w14:paraId="33BD8118" w14:textId="77777777" w:rsidR="007D4BDB" w:rsidRPr="003D04A8" w:rsidRDefault="007D4BDB" w:rsidP="007D4BDB">
      <w:pPr>
        <w:rPr>
          <w:i/>
          <w:iCs/>
          <w:noProof/>
        </w:rPr>
      </w:pPr>
      <w:r w:rsidRPr="003D04A8">
        <w:rPr>
          <w:i/>
          <w:noProof/>
        </w:rPr>
        <w:t>Pri vypĺňaní tohto oddielu postupujte podľa informácií v bode 76 písm. a) a v oddiele 5 (body 455 – 463) CEEAG.</w:t>
      </w:r>
    </w:p>
    <w:p w14:paraId="080E4838" w14:textId="77777777" w:rsidR="007D4BDB" w:rsidRPr="00701E4D" w:rsidRDefault="007D4BDB" w:rsidP="007D4BDB">
      <w:pPr>
        <w:pStyle w:val="ManualNumPar1"/>
        <w:rPr>
          <w:noProof/>
        </w:rPr>
      </w:pPr>
      <w:r w:rsidRPr="00447796">
        <w:rPr>
          <w:noProof/>
        </w:rPr>
        <w:t>34.</w:t>
      </w:r>
      <w:r w:rsidRPr="00447796">
        <w:rPr>
          <w:noProof/>
        </w:rPr>
        <w:tab/>
      </w:r>
      <w:r w:rsidRPr="00701E4D">
        <w:rPr>
          <w:noProof/>
        </w:rPr>
        <w:t xml:space="preserve">Ak notifikované opatrenie prekračuje/notifikované opatrenia prekračujú prahové hodnoty rozpočtu/výdavkov uvedené v bode 456 CEEAG, buď vysvetlite, prečo by sa podľa vás mala uplatniť výnimka uvedená v bode 457 CEEAG, alebo pripojte k </w:t>
      </w:r>
      <w:r w:rsidRPr="00701E4D">
        <w:rPr>
          <w:noProof/>
        </w:rPr>
        <w:lastRenderedPageBreak/>
        <w:t>tomuto formuláru doplňujúcich informácií prílohu, ktorá zahŕňa návrh plánu hodnotenia pokrývajúci rozsah uvedený v bode 458 CEEAG</w:t>
      </w:r>
      <w:r w:rsidRPr="00701E4D">
        <w:rPr>
          <w:rStyle w:val="Odkaznapoznmkupodiarou"/>
          <w:noProof/>
        </w:rPr>
        <w:footnoteReference w:id="11"/>
      </w:r>
      <w:r w:rsidRPr="00701E4D">
        <w:rPr>
          <w:noProof/>
        </w:rPr>
        <w:t>:</w:t>
      </w:r>
    </w:p>
    <w:p w14:paraId="26F53F4C" w14:textId="77777777" w:rsidR="007D4BDB" w:rsidRPr="00701E4D" w:rsidRDefault="007D4BDB" w:rsidP="007D4BDB">
      <w:pPr>
        <w:tabs>
          <w:tab w:val="left" w:leader="dot" w:pos="9072"/>
        </w:tabs>
        <w:ind w:left="567"/>
        <w:rPr>
          <w:noProof/>
        </w:rPr>
      </w:pPr>
      <w:r w:rsidRPr="00701E4D">
        <w:rPr>
          <w:noProof/>
        </w:rPr>
        <w:tab/>
      </w:r>
    </w:p>
    <w:p w14:paraId="298A0DDE" w14:textId="77777777" w:rsidR="007D4BDB" w:rsidRPr="00701E4D" w:rsidRDefault="007D4BDB" w:rsidP="007D4BDB">
      <w:pPr>
        <w:pStyle w:val="ManualNumPar1"/>
        <w:rPr>
          <w:noProof/>
        </w:rPr>
      </w:pPr>
      <w:r w:rsidRPr="00447796">
        <w:rPr>
          <w:noProof/>
        </w:rPr>
        <w:t>35.</w:t>
      </w:r>
      <w:r w:rsidRPr="00447796">
        <w:rPr>
          <w:noProof/>
        </w:rPr>
        <w:tab/>
      </w:r>
      <w:r w:rsidRPr="00701E4D">
        <w:rPr>
          <w:noProof/>
        </w:rPr>
        <w:t>Ak je k dispozícii návrh plánu hodnotenia:</w:t>
      </w:r>
    </w:p>
    <w:p w14:paraId="3042CD86" w14:textId="77777777" w:rsidR="007D4BDB" w:rsidRPr="00701E4D" w:rsidRDefault="007D4BDB" w:rsidP="007D4BDB">
      <w:pPr>
        <w:pStyle w:val="Point1"/>
        <w:rPr>
          <w:noProof/>
        </w:rPr>
      </w:pPr>
      <w:r w:rsidRPr="00701E4D">
        <w:rPr>
          <w:noProof/>
        </w:rPr>
        <w:t>a)</w:t>
      </w:r>
      <w:r w:rsidRPr="00701E4D">
        <w:rPr>
          <w:noProof/>
        </w:rPr>
        <w:tab/>
        <w:t>nižšie uveďte zhrnutie tohto návrhu plánu hodnotenia, ktorý je súčasťou prílohy:</w:t>
      </w:r>
    </w:p>
    <w:p w14:paraId="0DD35949" w14:textId="77777777" w:rsidR="007D4BDB" w:rsidRPr="00701E4D" w:rsidRDefault="007D4BDB" w:rsidP="007D4BDB">
      <w:pPr>
        <w:tabs>
          <w:tab w:val="left" w:leader="dot" w:pos="9072"/>
        </w:tabs>
        <w:ind w:left="567"/>
        <w:rPr>
          <w:noProof/>
        </w:rPr>
      </w:pPr>
      <w:r w:rsidRPr="00701E4D">
        <w:rPr>
          <w:noProof/>
        </w:rPr>
        <w:tab/>
      </w:r>
    </w:p>
    <w:p w14:paraId="00150390" w14:textId="77777777" w:rsidR="007D4BDB" w:rsidRPr="00701E4D" w:rsidRDefault="007D4BDB" w:rsidP="007D4BDB">
      <w:pPr>
        <w:pStyle w:val="Point1"/>
        <w:rPr>
          <w:noProof/>
        </w:rPr>
      </w:pPr>
      <w:r w:rsidRPr="00701E4D">
        <w:rPr>
          <w:noProof/>
        </w:rPr>
        <w:t>b)</w:t>
      </w:r>
      <w:r w:rsidRPr="00701E4D">
        <w:rPr>
          <w:noProof/>
        </w:rPr>
        <w:tab/>
        <w:t>potvrďte, že bude dodržaný bod 460 CEEAG:</w:t>
      </w:r>
    </w:p>
    <w:p w14:paraId="41366E13" w14:textId="77777777" w:rsidR="007D4BDB" w:rsidRPr="00701E4D" w:rsidRDefault="007D4BDB" w:rsidP="007D4BDB">
      <w:pPr>
        <w:tabs>
          <w:tab w:val="left" w:leader="dot" w:pos="9072"/>
        </w:tabs>
        <w:ind w:left="567"/>
        <w:rPr>
          <w:noProof/>
        </w:rPr>
      </w:pPr>
      <w:r w:rsidRPr="00701E4D">
        <w:rPr>
          <w:noProof/>
        </w:rPr>
        <w:tab/>
      </w:r>
    </w:p>
    <w:p w14:paraId="6029A2AC" w14:textId="77777777" w:rsidR="007D4BDB" w:rsidRPr="00701E4D" w:rsidRDefault="007D4BDB" w:rsidP="007D4BDB">
      <w:pPr>
        <w:pStyle w:val="Point1"/>
        <w:rPr>
          <w:noProof/>
        </w:rPr>
      </w:pPr>
      <w:r w:rsidRPr="00701E4D">
        <w:rPr>
          <w:noProof/>
        </w:rPr>
        <w:t>c)</w:t>
      </w:r>
      <w:r w:rsidRPr="00701E4D">
        <w:rPr>
          <w:noProof/>
        </w:rPr>
        <w:tab/>
        <w:t>uveďte dátum a internetový odkaz, prostredníctvom ktorého bude plán hodnotenia verejne dostupný:</w:t>
      </w:r>
    </w:p>
    <w:p w14:paraId="38528ACF" w14:textId="77777777" w:rsidR="007D4BDB" w:rsidRPr="00701E4D" w:rsidRDefault="007D4BDB" w:rsidP="007D4BDB">
      <w:pPr>
        <w:tabs>
          <w:tab w:val="left" w:leader="dot" w:pos="9072"/>
        </w:tabs>
        <w:ind w:left="567"/>
        <w:rPr>
          <w:noProof/>
        </w:rPr>
      </w:pPr>
      <w:r w:rsidRPr="00701E4D">
        <w:rPr>
          <w:noProof/>
        </w:rPr>
        <w:tab/>
      </w:r>
    </w:p>
    <w:p w14:paraId="51A3F75F" w14:textId="77777777" w:rsidR="007D4BDB" w:rsidRPr="00701E4D" w:rsidRDefault="007D4BDB" w:rsidP="007D4BDB">
      <w:pPr>
        <w:pStyle w:val="ManualNumPar1"/>
        <w:rPr>
          <w:noProof/>
        </w:rPr>
      </w:pPr>
      <w:r w:rsidRPr="00447796">
        <w:rPr>
          <w:noProof/>
        </w:rPr>
        <w:t>36.</w:t>
      </w:r>
      <w:r w:rsidRPr="00447796">
        <w:rPr>
          <w:noProof/>
        </w:rPr>
        <w:tab/>
      </w:r>
      <w:r w:rsidRPr="00701E4D">
        <w:rPr>
          <w:noProof/>
        </w:rPr>
        <w:t xml:space="preserve">Na overenie súladu s bodom 459 písm. b) CEEAG, ak schéma pomoci v súčasnosti nepodlieha hodnoteniu </w:t>
      </w:r>
      <w:r w:rsidRPr="003D04A8">
        <w:rPr>
          <w:i/>
          <w:noProof/>
        </w:rPr>
        <w:t>ex post</w:t>
      </w:r>
      <w:r w:rsidRPr="00701E4D">
        <w:rPr>
          <w:noProof/>
        </w:rPr>
        <w:t xml:space="preserve"> a jej trvanie presahuje tri roky, potvrďte, že oznámite návrh plánu hodnotenia do 30 pracovných dní po významnej zmene, ktorou sa zvýši rozpočet schémy na viac ako 150 miliónov EUR v ktoromkoľvek danom roku alebo 750 miliónov EUR počas celého trvania schémy:</w:t>
      </w:r>
    </w:p>
    <w:p w14:paraId="1A55DEFE" w14:textId="77777777" w:rsidR="007D4BDB" w:rsidRPr="00701E4D" w:rsidRDefault="007D4BDB" w:rsidP="007D4BDB">
      <w:pPr>
        <w:tabs>
          <w:tab w:val="left" w:leader="dot" w:pos="9072"/>
        </w:tabs>
        <w:ind w:left="567"/>
        <w:rPr>
          <w:noProof/>
        </w:rPr>
      </w:pPr>
      <w:r w:rsidRPr="00701E4D">
        <w:rPr>
          <w:noProof/>
        </w:rPr>
        <w:tab/>
      </w:r>
    </w:p>
    <w:p w14:paraId="6B5863D4" w14:textId="77777777" w:rsidR="007D4BDB" w:rsidRPr="00701E4D" w:rsidRDefault="007D4BDB" w:rsidP="007D4BDB">
      <w:pPr>
        <w:pStyle w:val="ManualNumPar1"/>
        <w:rPr>
          <w:noProof/>
        </w:rPr>
      </w:pPr>
      <w:r w:rsidRPr="00447796">
        <w:rPr>
          <w:noProof/>
        </w:rPr>
        <w:t>37.</w:t>
      </w:r>
      <w:r w:rsidRPr="00447796">
        <w:rPr>
          <w:noProof/>
        </w:rPr>
        <w:tab/>
      </w:r>
      <w:r w:rsidRPr="00701E4D">
        <w:rPr>
          <w:noProof/>
        </w:rPr>
        <w:t xml:space="preserve">Na overenie súladu s bodom 459 písm. c) CEEAG, ak schéma pomoci v súčasnosti nepodlieha hodnoteniu </w:t>
      </w:r>
      <w:r w:rsidRPr="003D04A8">
        <w:rPr>
          <w:i/>
          <w:noProof/>
        </w:rPr>
        <w:t>ex post</w:t>
      </w:r>
      <w:r w:rsidRPr="00701E4D">
        <w:rPr>
          <w:noProof/>
        </w:rPr>
        <w:t xml:space="preserve">, uveďte záväzok, že členský štát oznámi návrh plánu hodnotenia </w:t>
      </w:r>
      <w:r w:rsidRPr="00701E4D">
        <w:rPr>
          <w:noProof/>
          <w:shd w:val="clear" w:color="auto" w:fill="FFFFFF"/>
        </w:rPr>
        <w:t>do 30 pracovných dní po tom, ako boli v oficiálnych účtoch zaznamenané výdavky, ktoré v predchádzajúcom roku presiahli 150 miliónov EUR</w:t>
      </w:r>
      <w:r w:rsidRPr="00701E4D">
        <w:rPr>
          <w:noProof/>
        </w:rPr>
        <w:t xml:space="preserve">: </w:t>
      </w:r>
    </w:p>
    <w:p w14:paraId="38FAA6A4" w14:textId="77777777" w:rsidR="007D4BDB" w:rsidRPr="00701E4D" w:rsidRDefault="007D4BDB" w:rsidP="007D4BDB">
      <w:pPr>
        <w:tabs>
          <w:tab w:val="left" w:leader="dot" w:pos="9072"/>
        </w:tabs>
        <w:ind w:left="567"/>
        <w:rPr>
          <w:noProof/>
        </w:rPr>
      </w:pPr>
      <w:r w:rsidRPr="00701E4D">
        <w:rPr>
          <w:noProof/>
        </w:rPr>
        <w:tab/>
      </w:r>
    </w:p>
    <w:p w14:paraId="02D7A757" w14:textId="77777777" w:rsidR="007D4BDB" w:rsidRPr="00701E4D" w:rsidRDefault="007D4BDB" w:rsidP="007D4BDB">
      <w:pPr>
        <w:pStyle w:val="ManualNumPar1"/>
        <w:rPr>
          <w:noProof/>
        </w:rPr>
      </w:pPr>
      <w:r w:rsidRPr="00447796">
        <w:rPr>
          <w:noProof/>
        </w:rPr>
        <w:t>38.</w:t>
      </w:r>
      <w:r w:rsidRPr="00447796">
        <w:rPr>
          <w:noProof/>
        </w:rPr>
        <w:tab/>
      </w:r>
      <w:r w:rsidRPr="00701E4D">
        <w:rPr>
          <w:noProof/>
        </w:rPr>
        <w:t>Na overenie súladu s bodom 461 CEEAG:</w:t>
      </w:r>
    </w:p>
    <w:p w14:paraId="263B6C34" w14:textId="77777777" w:rsidR="007D4BDB" w:rsidRPr="00701E4D" w:rsidRDefault="007D4BDB" w:rsidP="007D4BDB">
      <w:pPr>
        <w:pStyle w:val="Point1"/>
        <w:rPr>
          <w:noProof/>
        </w:rPr>
      </w:pPr>
      <w:r w:rsidRPr="00701E4D">
        <w:rPr>
          <w:noProof/>
        </w:rPr>
        <w:t>a)</w:t>
      </w:r>
      <w:r w:rsidRPr="00701E4D">
        <w:rPr>
          <w:noProof/>
        </w:rPr>
        <w:tab/>
        <w:t>Objasnite, či už bol vybraný nezávislý znalec alebo či bude vybraný v budúcnosti:</w:t>
      </w:r>
    </w:p>
    <w:p w14:paraId="50B2D831" w14:textId="77777777" w:rsidR="007D4BDB" w:rsidRPr="00701E4D" w:rsidRDefault="007D4BDB" w:rsidP="007D4BDB">
      <w:pPr>
        <w:tabs>
          <w:tab w:val="left" w:leader="dot" w:pos="9072"/>
        </w:tabs>
        <w:ind w:left="567"/>
        <w:rPr>
          <w:noProof/>
        </w:rPr>
      </w:pPr>
      <w:r w:rsidRPr="00701E4D">
        <w:rPr>
          <w:noProof/>
        </w:rPr>
        <w:tab/>
      </w:r>
    </w:p>
    <w:p w14:paraId="781C9D59" w14:textId="77777777" w:rsidR="007D4BDB" w:rsidRPr="00701E4D" w:rsidRDefault="007D4BDB" w:rsidP="007D4BDB">
      <w:pPr>
        <w:pStyle w:val="Point1"/>
        <w:rPr>
          <w:noProof/>
        </w:rPr>
      </w:pPr>
      <w:r w:rsidRPr="00701E4D">
        <w:rPr>
          <w:noProof/>
        </w:rPr>
        <w:t>b)</w:t>
      </w:r>
      <w:r w:rsidRPr="00701E4D">
        <w:rPr>
          <w:noProof/>
        </w:rPr>
        <w:tab/>
        <w:t>Uveďte informácie o výberovom konaní na pozíciu znalca:</w:t>
      </w:r>
    </w:p>
    <w:p w14:paraId="7CCD5F75" w14:textId="77777777" w:rsidR="007D4BDB" w:rsidRPr="00701E4D" w:rsidRDefault="007D4BDB" w:rsidP="007D4BDB">
      <w:pPr>
        <w:tabs>
          <w:tab w:val="left" w:leader="dot" w:pos="9072"/>
        </w:tabs>
        <w:ind w:left="567"/>
        <w:rPr>
          <w:noProof/>
        </w:rPr>
      </w:pPr>
      <w:r w:rsidRPr="00701E4D">
        <w:rPr>
          <w:noProof/>
        </w:rPr>
        <w:tab/>
      </w:r>
    </w:p>
    <w:p w14:paraId="6DD3FCB8" w14:textId="77777777" w:rsidR="007D4BDB" w:rsidRPr="00701E4D" w:rsidRDefault="007D4BDB" w:rsidP="007D4BDB">
      <w:pPr>
        <w:pStyle w:val="Point1"/>
        <w:rPr>
          <w:noProof/>
        </w:rPr>
      </w:pPr>
      <w:r w:rsidRPr="00701E4D">
        <w:rPr>
          <w:noProof/>
        </w:rPr>
        <w:t>c)</w:t>
      </w:r>
      <w:r w:rsidRPr="00701E4D">
        <w:rPr>
          <w:noProof/>
        </w:rPr>
        <w:tab/>
        <w:t>Zdôvodnite, prečo je znalec nezávislý od orgánu poskytujúceho pomoc:</w:t>
      </w:r>
    </w:p>
    <w:p w14:paraId="78930A5D" w14:textId="77777777" w:rsidR="007D4BDB" w:rsidRPr="00701E4D" w:rsidRDefault="007D4BDB" w:rsidP="007D4BDB">
      <w:pPr>
        <w:tabs>
          <w:tab w:val="left" w:leader="dot" w:pos="9072"/>
        </w:tabs>
        <w:ind w:left="567"/>
        <w:rPr>
          <w:noProof/>
        </w:rPr>
      </w:pPr>
      <w:r w:rsidRPr="00701E4D">
        <w:rPr>
          <w:noProof/>
        </w:rPr>
        <w:tab/>
      </w:r>
    </w:p>
    <w:p w14:paraId="3C0184CD" w14:textId="77777777" w:rsidR="007D4BDB" w:rsidRPr="00701E4D" w:rsidRDefault="007D4BDB" w:rsidP="007D4BDB">
      <w:pPr>
        <w:pStyle w:val="ManualNumPar1"/>
        <w:rPr>
          <w:noProof/>
        </w:rPr>
      </w:pPr>
      <w:r w:rsidRPr="00447796">
        <w:rPr>
          <w:noProof/>
        </w:rPr>
        <w:t>39.</w:t>
      </w:r>
      <w:r w:rsidRPr="00447796">
        <w:rPr>
          <w:noProof/>
        </w:rPr>
        <w:tab/>
      </w:r>
      <w:r w:rsidRPr="00701E4D">
        <w:rPr>
          <w:noProof/>
        </w:rPr>
        <w:t xml:space="preserve">Na overenie súladu s bodom 461 CEEAG: </w:t>
      </w:r>
    </w:p>
    <w:p w14:paraId="21507F6C" w14:textId="77777777" w:rsidR="007D4BDB" w:rsidRPr="00701E4D" w:rsidRDefault="007D4BDB" w:rsidP="007D4BDB">
      <w:pPr>
        <w:pStyle w:val="Point1"/>
        <w:rPr>
          <w:noProof/>
        </w:rPr>
      </w:pPr>
      <w:r w:rsidRPr="00701E4D">
        <w:rPr>
          <w:noProof/>
        </w:rPr>
        <w:t>a)</w:t>
      </w:r>
      <w:r w:rsidRPr="00701E4D">
        <w:rPr>
          <w:noProof/>
        </w:rPr>
        <w:tab/>
        <w:t xml:space="preserve">Uveďte termíny, ktoré navrhujete na predloženie priebežnej a záverečnej hodnotiacej správy. Upozorňujeme, že v súlade s bodom 463 CEEAG sa záverečná hodnotiaca správa musí predložiť Komisii včas, aby sa mohlo posúdiť prípadné predĺženie schémy pomoci, a to najneskôr deväť mesiacov pred uplynutím jej platnosti. Upozorňujeme, že uvedenú lehotu by bolo možné </w:t>
      </w:r>
      <w:r w:rsidRPr="00701E4D">
        <w:rPr>
          <w:noProof/>
        </w:rPr>
        <w:lastRenderedPageBreak/>
        <w:t>skrátiť v prípade schém, pri ktorých sa za posledné dva roky vykonávania vyžadovalo hodnotenie:</w:t>
      </w:r>
    </w:p>
    <w:p w14:paraId="283508A2" w14:textId="77777777" w:rsidR="007D4BDB" w:rsidRPr="00701E4D" w:rsidRDefault="007D4BDB" w:rsidP="007D4BDB">
      <w:pPr>
        <w:tabs>
          <w:tab w:val="left" w:leader="dot" w:pos="9072"/>
        </w:tabs>
        <w:ind w:left="567"/>
        <w:rPr>
          <w:noProof/>
        </w:rPr>
      </w:pPr>
      <w:r w:rsidRPr="00701E4D">
        <w:rPr>
          <w:noProof/>
        </w:rPr>
        <w:tab/>
      </w:r>
    </w:p>
    <w:p w14:paraId="159903C0" w14:textId="77777777" w:rsidR="007D4BDB" w:rsidRPr="00701E4D" w:rsidRDefault="007D4BDB" w:rsidP="007D4BDB">
      <w:pPr>
        <w:pStyle w:val="Point1"/>
        <w:rPr>
          <w:noProof/>
        </w:rPr>
      </w:pPr>
      <w:r w:rsidRPr="00701E4D">
        <w:rPr>
          <w:noProof/>
        </w:rPr>
        <w:t>b)</w:t>
      </w:r>
      <w:r w:rsidRPr="00701E4D">
        <w:rPr>
          <w:noProof/>
        </w:rPr>
        <w:tab/>
        <w:t xml:space="preserve">Potvrďte, že priebežná a záverečná hodnotiaca správa budú zverejnené. Uveďte dátum a internetový odkaz, prostredníctvom ktorého budú tieto správy verejne dostupné. </w:t>
      </w:r>
    </w:p>
    <w:p w14:paraId="2A318883" w14:textId="77777777" w:rsidR="007D4BDB" w:rsidRPr="003D04A8" w:rsidRDefault="007D4BDB" w:rsidP="007D4BDB">
      <w:pPr>
        <w:pStyle w:val="ManualHeading2"/>
        <w:rPr>
          <w:noProof/>
        </w:rPr>
      </w:pPr>
      <w:r w:rsidRPr="003D04A8">
        <w:rPr>
          <w:noProof/>
        </w:rPr>
        <w:t>Oddiel D: Podávanie správ a monitorovanie</w:t>
      </w:r>
    </w:p>
    <w:p w14:paraId="494EC010" w14:textId="77777777" w:rsidR="007D4BDB" w:rsidRPr="003D04A8" w:rsidRDefault="007D4BDB" w:rsidP="007D4BDB">
      <w:pPr>
        <w:rPr>
          <w:i/>
          <w:iCs/>
          <w:noProof/>
        </w:rPr>
      </w:pPr>
      <w:r w:rsidRPr="003D04A8">
        <w:rPr>
          <w:i/>
          <w:noProof/>
        </w:rPr>
        <w:t>Pri vypĺňaní tohto oddielu postupujte podľa informácií v oddiele 6 (body 464 – 465) CEEAG.</w:t>
      </w:r>
    </w:p>
    <w:p w14:paraId="6D2B01AC" w14:textId="77777777" w:rsidR="007D4BDB" w:rsidRPr="00701E4D" w:rsidRDefault="007D4BDB" w:rsidP="007D4BDB">
      <w:pPr>
        <w:pStyle w:val="ManualNumPar1"/>
        <w:rPr>
          <w:noProof/>
        </w:rPr>
      </w:pPr>
      <w:r w:rsidRPr="00447796">
        <w:rPr>
          <w:noProof/>
        </w:rPr>
        <w:t>40.</w:t>
      </w:r>
      <w:r w:rsidRPr="00447796">
        <w:rPr>
          <w:noProof/>
        </w:rPr>
        <w:tab/>
      </w:r>
      <w:r w:rsidRPr="00701E4D">
        <w:rPr>
          <w:noProof/>
        </w:rPr>
        <w:t>Potvrďte, že členský štát splní požiadavky na podávanie správ a monitorovanie stanovené v oddiele 6 bodoch 464 a 465 CEEAG:</w:t>
      </w:r>
    </w:p>
    <w:p w14:paraId="25EC17DA" w14:textId="77777777" w:rsidR="007D4BDB" w:rsidRPr="00701E4D" w:rsidRDefault="007D4BDB" w:rsidP="007D4BDB">
      <w:pPr>
        <w:tabs>
          <w:tab w:val="left" w:leader="dot" w:pos="9072"/>
        </w:tabs>
        <w:ind w:left="567"/>
        <w:rPr>
          <w:noProof/>
        </w:rPr>
      </w:pPr>
      <w:r w:rsidRPr="00701E4D">
        <w:rPr>
          <w:noProof/>
        </w:rPr>
        <w:tab/>
      </w:r>
    </w:p>
    <w:p w14:paraId="05550949" w14:textId="77777777" w:rsidR="00E6658B" w:rsidRDefault="00E6658B"/>
    <w:sectPr w:rsidR="00E6658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926A" w14:textId="77777777" w:rsidR="00CB4B08" w:rsidRDefault="00CB4B08" w:rsidP="007D4BDB">
      <w:pPr>
        <w:spacing w:before="0" w:after="0"/>
      </w:pPr>
      <w:r>
        <w:separator/>
      </w:r>
    </w:p>
  </w:endnote>
  <w:endnote w:type="continuationSeparator" w:id="0">
    <w:p w14:paraId="193E5F85" w14:textId="77777777" w:rsidR="00CB4B08" w:rsidRDefault="00CB4B08" w:rsidP="007D4B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CAA2" w14:textId="77777777" w:rsidR="007D4BDB" w:rsidRDefault="007D4BD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C5B4" w14:textId="4B34EDFD" w:rsidR="007D4BDB" w:rsidRDefault="007D4BDB" w:rsidP="007D4BDB">
    <w:pPr>
      <w:pStyle w:val="Pta"/>
      <w:jc w:val="center"/>
    </w:pPr>
    <w:r>
      <w:fldChar w:fldCharType="begin"/>
    </w:r>
    <w:r>
      <w:instrText xml:space="preserve"> PAGE  \* Arabic  \* MERGEFORMAT </w:instrText>
    </w:r>
    <w:r>
      <w:fldChar w:fldCharType="separate"/>
    </w:r>
    <w:r>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645E" w14:textId="77777777" w:rsidR="007D4BDB" w:rsidRDefault="007D4B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E8BF5" w14:textId="77777777" w:rsidR="00CB4B08" w:rsidRDefault="00CB4B08" w:rsidP="007D4BDB">
      <w:pPr>
        <w:spacing w:before="0" w:after="0"/>
      </w:pPr>
      <w:r>
        <w:separator/>
      </w:r>
    </w:p>
  </w:footnote>
  <w:footnote w:type="continuationSeparator" w:id="0">
    <w:p w14:paraId="1A1E2CF9" w14:textId="77777777" w:rsidR="00CB4B08" w:rsidRDefault="00CB4B08" w:rsidP="007D4BDB">
      <w:pPr>
        <w:spacing w:before="0" w:after="0"/>
      </w:pPr>
      <w:r>
        <w:continuationSeparator/>
      </w:r>
    </w:p>
  </w:footnote>
  <w:footnote w:id="1">
    <w:p w14:paraId="6D5BBD1E" w14:textId="77777777" w:rsidR="007D4BDB" w:rsidRPr="0067348B" w:rsidRDefault="007D4BDB" w:rsidP="007D4BDB">
      <w:pPr>
        <w:pStyle w:val="Textpoznmkypodiarou"/>
      </w:pPr>
      <w:r>
        <w:rPr>
          <w:rStyle w:val="Odkaznapoznmkupodiarou"/>
        </w:rPr>
        <w:footnoteRef/>
      </w:r>
      <w:r>
        <w:tab/>
        <w:t>Upozorňujeme, že v prípade schémy pomoci trvanie predstavuje obdobie, počas ktorého možno požiadať o pomoc a rozhodnúť o nej (vrátane času, ktorý potrebujú vnútroštátne orgány na schválenie žiadostí o pomoc). Trvanie, na ktoré sa odkazuje v tejto otázke, nesúvisí s trvaním zmlúv uzavretých v rámci schémy pomoci, ktoré môžu platiť aj po skončení trvania opatrenia.</w:t>
      </w:r>
    </w:p>
  </w:footnote>
  <w:footnote w:id="2">
    <w:p w14:paraId="73730734" w14:textId="77777777" w:rsidR="007D4BDB" w:rsidRPr="0067348B" w:rsidRDefault="007D4BDB" w:rsidP="007D4BDB">
      <w:pPr>
        <w:pStyle w:val="Textpoznmkypodiarou"/>
      </w:pPr>
      <w:r>
        <w:rPr>
          <w:rStyle w:val="Odkaznapoznmkupodiarou"/>
        </w:rPr>
        <w:footnoteRef/>
      </w:r>
      <w:r>
        <w:tab/>
        <w:t>Upozorňujeme, že zmena skutočného alebo odhadovaného rozpočtu môže predstavovať zmenu pomoci, ktorá si vyžaduje novú notifikáciu.</w:t>
      </w:r>
    </w:p>
  </w:footnote>
  <w:footnote w:id="3">
    <w:p w14:paraId="1EE857E5" w14:textId="77777777" w:rsidR="007D4BDB" w:rsidRPr="00016816" w:rsidRDefault="007D4BDB" w:rsidP="007D4BDB">
      <w:pPr>
        <w:pStyle w:val="Textpoznmkypodiarou"/>
      </w:pPr>
      <w:r>
        <w:rPr>
          <w:rStyle w:val="Odkaznapoznmkupodiarou"/>
        </w:rPr>
        <w:footnoteRef/>
      </w:r>
      <w:r>
        <w:tab/>
        <w:t>Pozri rozsudok Súdneho dvora z 13. júna 2013, HGA a i./Komisia, C-630/11 P až C-633/11 P, ECLI:EU:C:2013:387, bod 104.</w:t>
      </w:r>
    </w:p>
  </w:footnote>
  <w:footnote w:id="4">
    <w:p w14:paraId="5280A55C" w14:textId="77777777" w:rsidR="007D4BDB" w:rsidRPr="009823F9" w:rsidRDefault="007D4BDB" w:rsidP="007D4BDB">
      <w:pPr>
        <w:pStyle w:val="Textpoznmkypodiarou"/>
      </w:pPr>
      <w:r>
        <w:rPr>
          <w:rStyle w:val="Odkaznapoznmkupodiarou"/>
        </w:rPr>
        <w:footnoteRef/>
      </w:r>
      <w:r>
        <w:tab/>
        <w:t>Podľa bodu 19 podbodu 63 CEEAG je „referenčný projekt“ príklad bežného projektu v kategórii oprávnených príjemcov schémy pomoci.</w:t>
      </w:r>
    </w:p>
  </w:footnote>
  <w:footnote w:id="5">
    <w:p w14:paraId="2C54AAF7" w14:textId="77777777" w:rsidR="007D4BDB" w:rsidRPr="003D04A8" w:rsidRDefault="007D4BDB" w:rsidP="007D4BDB">
      <w:pPr>
        <w:pStyle w:val="Textpoznmkypodiarou"/>
        <w:rPr>
          <w:i/>
        </w:rPr>
      </w:pPr>
      <w:r>
        <w:rPr>
          <w:rStyle w:val="Odkaznapoznmkupodiarou"/>
        </w:rPr>
        <w:footnoteRef/>
      </w:r>
      <w:r>
        <w:tab/>
        <w:t>V bode 31 CEEAG sa uvádza: „</w:t>
      </w:r>
      <w:r w:rsidRPr="003D04A8">
        <w:rPr>
          <w:i/>
        </w:rPr>
        <w:t>V niektorých výnimočných prípadoch môže mať pomoc stimulačný účinok aj v prípade projektov, ktoré sa začali pred podaním žiadosti o pomoc. Pomoc sa považuje za takú, ktorá má stimulačný účinok, v týchto situáciách:</w:t>
      </w:r>
    </w:p>
    <w:p w14:paraId="472F98D3" w14:textId="77777777" w:rsidR="007D4BDB" w:rsidRPr="003D04A8" w:rsidRDefault="007D4BDB" w:rsidP="007D4BDB">
      <w:pPr>
        <w:pStyle w:val="Textpoznmkypodiarou"/>
        <w:numPr>
          <w:ilvl w:val="0"/>
          <w:numId w:val="46"/>
        </w:numPr>
        <w:spacing w:before="0"/>
        <w:rPr>
          <w:i/>
        </w:rPr>
      </w:pPr>
      <w:r w:rsidRPr="003D04A8">
        <w:rPr>
          <w:i/>
        </w:rPr>
        <w:t>pomoc sa poskytuje automaticky na základe objektívnych a nediskriminačných kritérií a bez toho, aby členské štáty ďalej uplatňovali diskrečnú právomoc, a opatrenie bolo schválené a nadobudlo účinnosť pred začatím prác na podporenom projekte alebo činnosti, okrem prípadu následných fiškálnych schém, ak sa na danú činnosť vzťahovali už predchádzajúce schémy vo forme daňového zvýhodnenia;</w:t>
      </w:r>
    </w:p>
    <w:p w14:paraId="0806C15B" w14:textId="77777777" w:rsidR="007D4BDB" w:rsidRPr="003D04A8" w:rsidRDefault="007D4BDB" w:rsidP="007D4BDB">
      <w:pPr>
        <w:pStyle w:val="Textpoznmkypodiarou"/>
        <w:numPr>
          <w:ilvl w:val="0"/>
          <w:numId w:val="46"/>
        </w:numPr>
        <w:spacing w:before="0"/>
        <w:rPr>
          <w:i/>
        </w:rPr>
      </w:pPr>
      <w:r w:rsidRPr="003D04A8">
        <w:rPr>
          <w:i/>
        </w:rPr>
        <w:t>vnútroštátne orgány uverejnili pred začatím prác oznámenie o svojom zámere zaviesť navrhované opatrenie pomoci, ak ho schváli Komisia, ako sa to vyžaduje v článku 108 ods. 3 zmluvy. Uvedené oznámenie musí byť dostupné na verejnom webovom sídle alebo v inom verejne prístupnom médiu s porovnateľne širokým a jednoduchým prístupom a musia sa v ňom jednoznačne uvádzať typy projektov, ktoré majú byť podľa návrhu členského štátu oprávnené, ako aj čas, od ktorého členský štát zamýšľa považovať takéto projekty za oprávnené. Navrhovaná oprávnenosť nesmie byť neprípustne obmedzená. Príjemca musí orgán poskytujúci pomoc pred začiatkom prác informovať o tom, že navrhované opatrenie pomoci predstavuje podmienku prijatia investičných rozhodnutí. Ak členský štát preukazuje stimulačný účinok takýmto oznámením, musí v rámci oznámenia o štátnej pomoci predložiť kópiu oznámenia a odkaz na webové sídlo, na ktorom je uverejnené, prípadne príslušný doklad o jeho dostupnosti pre verejnosť;</w:t>
      </w:r>
    </w:p>
    <w:p w14:paraId="0634665A" w14:textId="77777777" w:rsidR="007D4BDB" w:rsidRDefault="007D4BDB" w:rsidP="007D4BDB">
      <w:pPr>
        <w:pStyle w:val="Textpoznmkypodiarou"/>
        <w:numPr>
          <w:ilvl w:val="0"/>
          <w:numId w:val="46"/>
        </w:numPr>
        <w:spacing w:before="0"/>
      </w:pPr>
      <w:r w:rsidRPr="003D04A8">
        <w:rPr>
          <w:i/>
        </w:rPr>
        <w:t>prevádzková pomoc sa poskytuje existujúcim zariadeniam na výrobu šetrnú k životnému prostrediu, aj keď sa nezačali žiadne práce, pretože nedošlo k žiadnej významnej novej investícii. V takýchto prípadoch možno stimulačný účinok preukázať zmenou prevádzky zariadenia spôsobom šetrným k životnému prostrediu, a nie alternatívnym lacnejším režimom prevádzky, ktorý je menej šetrný k životnému prostrediu.“</w:t>
      </w:r>
    </w:p>
  </w:footnote>
  <w:footnote w:id="6">
    <w:p w14:paraId="23473734" w14:textId="77777777" w:rsidR="007D4BDB" w:rsidRDefault="007D4BDB" w:rsidP="007D4BDB">
      <w:pPr>
        <w:pStyle w:val="Textpoznmkypodiarou"/>
      </w:pPr>
      <w:r>
        <w:rPr>
          <w:rStyle w:val="Odkaznapoznmkupodiarou"/>
        </w:rPr>
        <w:footnoteRef/>
      </w:r>
      <w:r>
        <w:tab/>
        <w:t>Podľa bodu 19 podbodu 89 CEEAG „norma Únie“ je:</w:t>
      </w:r>
    </w:p>
    <w:p w14:paraId="7E1D9BAE" w14:textId="77777777" w:rsidR="007D4BDB" w:rsidRPr="003D04A8" w:rsidRDefault="007D4BDB" w:rsidP="007D4BDB">
      <w:pPr>
        <w:pStyle w:val="Textpoznmkypodiarou"/>
        <w:numPr>
          <w:ilvl w:val="0"/>
          <w:numId w:val="47"/>
        </w:numPr>
        <w:spacing w:before="0"/>
        <w:rPr>
          <w:i/>
        </w:rPr>
      </w:pPr>
      <w:r w:rsidRPr="003D04A8">
        <w:rPr>
          <w:i/>
        </w:rPr>
        <w:t>záväzná norma Únie, v ktorej sa stanovujú požadované úrovne ochrany životného prostredia, ktoré majú jednotlivé podniky dosiahnuť, okrem noriem alebo cieľov stanovených na úrovni Únie, ktoré sú záväzné pre členské štáty, nie však pre jednotlivé podniky;</w:t>
      </w:r>
    </w:p>
    <w:p w14:paraId="50EA6197" w14:textId="77777777" w:rsidR="007D4BDB" w:rsidRDefault="007D4BDB" w:rsidP="007D4BDB">
      <w:pPr>
        <w:pStyle w:val="Textpoznmkypodiarou"/>
        <w:numPr>
          <w:ilvl w:val="0"/>
          <w:numId w:val="47"/>
        </w:numPr>
        <w:spacing w:before="0"/>
      </w:pPr>
      <w:r w:rsidRPr="003D04A8">
        <w:rPr>
          <w:i/>
        </w:rPr>
        <w:t>povinnosť využívať najlepšie dostupné techniky, ako sa vymedzujú v smernici 2010/75/EÚ, a zabezpečiť, aby úrovne emisií neboli vyššie ako úrovne emisií, ktoré by sa dosiahli pri uplatňovaní najlepších dostupných techník; ak sú úrovne emisií spojené s najlepšími dostupnými technikami vymedzené vo vykonávacích aktoch prijatých v súlade so smernicou 2010/75/EÚ alebo podľa iných uplatniteľných smerníc, na účely týchto usmernení sa budú uplatňovať uvedené úrovne; ak budú tieto úrovne vyjadrené ako rozsah, uplatní sa limit, pri ktorom došlo v dotknutom podniku k prvému dosiahnutiu najlepších dostupných techník.</w:t>
      </w:r>
    </w:p>
  </w:footnote>
  <w:footnote w:id="7">
    <w:p w14:paraId="4AAEAF9A" w14:textId="77777777" w:rsidR="007D4BDB" w:rsidRDefault="007D4BDB" w:rsidP="007D4BDB">
      <w:pPr>
        <w:pStyle w:val="Textpoznmkypodiarou"/>
      </w:pPr>
      <w:r>
        <w:rPr>
          <w:rStyle w:val="Odkaznapoznmkupodiarou"/>
        </w:rPr>
        <w:footnoteRef/>
      </w:r>
      <w:r>
        <w:tab/>
        <w:t>V bode 51 CEEAG sa stanovuje, že „</w:t>
      </w:r>
      <w:r w:rsidRPr="003D04A8">
        <w:rPr>
          <w:i/>
          <w:color w:val="000000"/>
          <w:shd w:val="clear" w:color="auto" w:fill="FFFFFF"/>
        </w:rPr>
        <w:t>[t]ypické čisté dodatočné náklady možno odhadnúť ako rozdiel medzi čistou súčasnou [hodnotou] v rámci faktického a kontrafaktuálneho scenára počas celého času trvania referenčného projektu</w:t>
      </w:r>
      <w:r>
        <w:t>“.</w:t>
      </w:r>
    </w:p>
  </w:footnote>
  <w:footnote w:id="8">
    <w:p w14:paraId="2A93874E" w14:textId="77777777" w:rsidR="007D4BDB" w:rsidRDefault="007D4BDB" w:rsidP="007D4BDB">
      <w:pPr>
        <w:pStyle w:val="Textpoznmkypodiarou"/>
      </w:pPr>
      <w:r>
        <w:rPr>
          <w:rStyle w:val="Odkaznapoznmkupodiarou"/>
        </w:rPr>
        <w:footnoteRef/>
      </w:r>
      <w:r>
        <w:tab/>
        <w:t>Upozorňujeme, že podľa poznámky pod čiarou č. 45 CEEAG „</w:t>
      </w:r>
      <w:r w:rsidRPr="003D04A8">
        <w:rPr>
          <w:i/>
          <w:color w:val="000000"/>
          <w:sz w:val="19"/>
          <w:shd w:val="clear" w:color="auto" w:fill="FFFFFF"/>
        </w:rPr>
        <w:t>[z]a realistický sa nebude považovať kontrafaktuálny scenár, v ktorom sa ako alternatívny scenár investície/prevádzky uvádza pokračovanie v súčasných environmentálne neudržateľných činnostiach v dlhodobom horizonte</w:t>
      </w:r>
      <w:r>
        <w:t>“.</w:t>
      </w:r>
    </w:p>
  </w:footnote>
  <w:footnote w:id="9">
    <w:p w14:paraId="78BA8570" w14:textId="77777777" w:rsidR="007D4BDB" w:rsidRDefault="007D4BDB" w:rsidP="007D4BDB">
      <w:pPr>
        <w:pStyle w:val="Textpoznmkypodiarou"/>
      </w:pPr>
      <w:r>
        <w:rPr>
          <w:rStyle w:val="Odkaznapoznmkupodiarou"/>
        </w:rPr>
        <w:footnoteRef/>
      </w:r>
      <w:r>
        <w:tab/>
        <w:t>Upozorňujeme, že podľa poznámky pod čiarou č. 46 CEEAG „</w:t>
      </w:r>
      <w:r w:rsidRPr="003D04A8">
        <w:rPr>
          <w:i/>
        </w:rPr>
        <w:t>[j]e potrebné zvážiť všetky relevantné očakávané náklady a prínosy počas celého času trvania projektu</w:t>
      </w:r>
      <w:r>
        <w:t>“.</w:t>
      </w:r>
    </w:p>
  </w:footnote>
  <w:footnote w:id="10">
    <w:p w14:paraId="269E0C2E" w14:textId="77777777" w:rsidR="007D4BDB" w:rsidRPr="009C7EC5" w:rsidRDefault="007D4BDB" w:rsidP="007D4BDB">
      <w:pPr>
        <w:pStyle w:val="Textpoznmkypodiarou"/>
      </w:pPr>
      <w:r>
        <w:rPr>
          <w:rStyle w:val="Odkaznapoznmkupodiarou"/>
        </w:rPr>
        <w:footnoteRef/>
      </w:r>
      <w:r>
        <w:tab/>
        <w:t>Centrálne spravované financovanie z prostriedkov Únie je financovanie z prostriedkov Únie, ktoré centrálne spravujú inštitúcie, agentúry, spoločné podniky alebo iné orgány Európskej únie a ktoré nie je priamo ani nepriamo pod kontrolou členského štátu.</w:t>
      </w:r>
    </w:p>
  </w:footnote>
  <w:footnote w:id="11">
    <w:p w14:paraId="1846092B" w14:textId="77777777" w:rsidR="007D4BDB" w:rsidRDefault="007D4BDB" w:rsidP="007D4BDB">
      <w:pPr>
        <w:pStyle w:val="Textpoznmkypodiarou"/>
      </w:pPr>
      <w:r>
        <w:rPr>
          <w:rStyle w:val="Odkaznapoznmkupodiarou"/>
        </w:rPr>
        <w:footnoteRef/>
      </w:r>
      <w:r>
        <w:tab/>
        <w:t xml:space="preserve">Vzor formulára doplňujúcich informácií na oznámenie plánu hodnotenia (časť III.8) je k dispozícii tu: </w:t>
      </w:r>
      <w:hyperlink r:id="rId1" w:anchor="evaluation-plan" w:history="1">
        <w:r>
          <w:rPr>
            <w:rStyle w:val="Hypertextovprepojenie"/>
          </w:rPr>
          <w:t>https://competition-policy.ec.europa.eu/state-aid/legislation/forms-notifications-and-reporting_en?prefLang=sk</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7328" w14:textId="77777777" w:rsidR="007D4BDB" w:rsidRDefault="007D4BD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A689" w14:textId="77777777" w:rsidR="007D4BDB" w:rsidRDefault="007D4BD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BFF2" w14:textId="77777777" w:rsidR="007D4BDB" w:rsidRDefault="007D4BD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35285DC"/>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C1C085C8"/>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1DCA350A"/>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60D652D6"/>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C689C46"/>
    <w:lvl w:ilvl="0">
      <w:start w:val="1"/>
      <w:numFmt w:val="bullet"/>
      <w:pStyle w:val="Zo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8E208CE"/>
    <w:lvl w:ilvl="0">
      <w:start w:val="1"/>
      <w:numFmt w:val="bullet"/>
      <w:pStyle w:val="Zo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04B2CC"/>
    <w:lvl w:ilvl="0">
      <w:start w:val="1"/>
      <w:numFmt w:val="decimal"/>
      <w:pStyle w:val="slovanzoznam"/>
      <w:lvlText w:val="%1."/>
      <w:lvlJc w:val="left"/>
      <w:pPr>
        <w:tabs>
          <w:tab w:val="num" w:pos="360"/>
        </w:tabs>
        <w:ind w:left="360" w:hanging="360"/>
      </w:pPr>
    </w:lvl>
  </w:abstractNum>
  <w:abstractNum w:abstractNumId="7" w15:restartNumberingAfterBreak="0">
    <w:nsid w:val="FFFFFF89"/>
    <w:multiLevelType w:val="singleLevel"/>
    <w:tmpl w:val="E7AA0530"/>
    <w:lvl w:ilvl="0">
      <w:start w:val="1"/>
      <w:numFmt w:val="bullet"/>
      <w:pStyle w:val="Zoznamsodrkami"/>
      <w:lvlText w:val=""/>
      <w:lvlJc w:val="left"/>
      <w:pPr>
        <w:tabs>
          <w:tab w:val="num" w:pos="360"/>
        </w:tabs>
        <w:ind w:left="360" w:hanging="360"/>
      </w:pPr>
      <w:rPr>
        <w:rFonts w:ascii="Symbol" w:hAnsi="Symbol" w:hint="default"/>
      </w:rPr>
    </w:lvl>
  </w:abstractNum>
  <w:abstractNum w:abstractNumId="8" w15:restartNumberingAfterBreak="0">
    <w:nsid w:val="03963CA3"/>
    <w:multiLevelType w:val="hybridMultilevel"/>
    <w:tmpl w:val="A120D82E"/>
    <w:lvl w:ilvl="0" w:tplc="73FCFFA8">
      <w:start w:val="1"/>
      <w:numFmt w:val="lowerRoman"/>
      <w:pStyle w:val="Stylei"/>
      <w:lvlText w:val="(%1)"/>
      <w:lvlJc w:val="left"/>
      <w:pPr>
        <w:ind w:left="2704" w:hanging="360"/>
      </w:pPr>
      <w:rPr>
        <w:rFonts w:hint="default"/>
      </w:rPr>
    </w:lvl>
    <w:lvl w:ilvl="1" w:tplc="18090019" w:tentative="1">
      <w:start w:val="1"/>
      <w:numFmt w:val="lowerLetter"/>
      <w:lvlText w:val="%2."/>
      <w:lvlJc w:val="left"/>
      <w:pPr>
        <w:ind w:left="3424" w:hanging="360"/>
      </w:pPr>
    </w:lvl>
    <w:lvl w:ilvl="2" w:tplc="1809001B" w:tentative="1">
      <w:start w:val="1"/>
      <w:numFmt w:val="lowerRoman"/>
      <w:lvlText w:val="%3."/>
      <w:lvlJc w:val="right"/>
      <w:pPr>
        <w:ind w:left="4144" w:hanging="180"/>
      </w:pPr>
    </w:lvl>
    <w:lvl w:ilvl="3" w:tplc="1809000F" w:tentative="1">
      <w:start w:val="1"/>
      <w:numFmt w:val="decimal"/>
      <w:lvlText w:val="%4."/>
      <w:lvlJc w:val="left"/>
      <w:pPr>
        <w:ind w:left="4864" w:hanging="360"/>
      </w:pPr>
    </w:lvl>
    <w:lvl w:ilvl="4" w:tplc="18090019" w:tentative="1">
      <w:start w:val="1"/>
      <w:numFmt w:val="lowerLetter"/>
      <w:lvlText w:val="%5."/>
      <w:lvlJc w:val="left"/>
      <w:pPr>
        <w:ind w:left="5584" w:hanging="360"/>
      </w:pPr>
    </w:lvl>
    <w:lvl w:ilvl="5" w:tplc="1809001B" w:tentative="1">
      <w:start w:val="1"/>
      <w:numFmt w:val="lowerRoman"/>
      <w:lvlText w:val="%6."/>
      <w:lvlJc w:val="right"/>
      <w:pPr>
        <w:ind w:left="6304" w:hanging="180"/>
      </w:pPr>
    </w:lvl>
    <w:lvl w:ilvl="6" w:tplc="1809000F" w:tentative="1">
      <w:start w:val="1"/>
      <w:numFmt w:val="decimal"/>
      <w:lvlText w:val="%7."/>
      <w:lvlJc w:val="left"/>
      <w:pPr>
        <w:ind w:left="7024" w:hanging="360"/>
      </w:pPr>
    </w:lvl>
    <w:lvl w:ilvl="7" w:tplc="18090019" w:tentative="1">
      <w:start w:val="1"/>
      <w:numFmt w:val="lowerLetter"/>
      <w:lvlText w:val="%8."/>
      <w:lvlJc w:val="left"/>
      <w:pPr>
        <w:ind w:left="7744" w:hanging="360"/>
      </w:pPr>
    </w:lvl>
    <w:lvl w:ilvl="8" w:tplc="1809001B" w:tentative="1">
      <w:start w:val="1"/>
      <w:numFmt w:val="lowerRoman"/>
      <w:lvlText w:val="%9."/>
      <w:lvlJc w:val="right"/>
      <w:pPr>
        <w:ind w:left="8464" w:hanging="180"/>
      </w:pPr>
    </w:lvl>
  </w:abstractNum>
  <w:abstractNum w:abstractNumId="9" w15:restartNumberingAfterBreak="0">
    <w:nsid w:val="10594A97"/>
    <w:multiLevelType w:val="hybridMultilevel"/>
    <w:tmpl w:val="78FA9240"/>
    <w:lvl w:ilvl="0" w:tplc="041B0017">
      <w:start w:val="1"/>
      <w:numFmt w:val="lowerLetter"/>
      <w:lvlText w:val="%1)"/>
      <w:lvlJc w:val="left"/>
      <w:pPr>
        <w:ind w:left="1080" w:hanging="360"/>
      </w:pPr>
      <w:rPr>
        <w:rFonts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D293CF4"/>
    <w:multiLevelType w:val="multilevel"/>
    <w:tmpl w:val="D756A110"/>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40FC46F2"/>
    <w:multiLevelType w:val="hybridMultilevel"/>
    <w:tmpl w:val="ED1842D4"/>
    <w:lvl w:ilvl="0" w:tplc="3A58B62E">
      <w:start w:val="1"/>
      <w:numFmt w:val="bullet"/>
      <w:pStyle w:val="Normal127Bullet63"/>
      <w:lvlText w:val=""/>
      <w:lvlJc w:val="left"/>
      <w:pPr>
        <w:ind w:left="1797" w:hanging="360"/>
      </w:pPr>
      <w:rPr>
        <w:rFonts w:ascii="Symbol" w:hAnsi="Symbol" w:hint="default"/>
        <w:b w:val="0"/>
        <w:i w:val="0"/>
        <w:sz w:val="22"/>
      </w:rPr>
    </w:lvl>
    <w:lvl w:ilvl="1" w:tplc="A994354A">
      <w:start w:val="1"/>
      <w:numFmt w:val="bullet"/>
      <w:lvlText w:val="o"/>
      <w:lvlJc w:val="left"/>
      <w:pPr>
        <w:ind w:left="2517" w:hanging="360"/>
      </w:pPr>
      <w:rPr>
        <w:rFonts w:ascii="Courier New" w:hAnsi="Courier New" w:cs="Courier New" w:hint="default"/>
      </w:rPr>
    </w:lvl>
    <w:lvl w:ilvl="2" w:tplc="CA0016A8">
      <w:start w:val="1"/>
      <w:numFmt w:val="bullet"/>
      <w:lvlText w:val=""/>
      <w:lvlJc w:val="left"/>
      <w:pPr>
        <w:ind w:left="3237" w:hanging="360"/>
      </w:pPr>
      <w:rPr>
        <w:rFonts w:ascii="Wingdings" w:hAnsi="Wingdings" w:hint="default"/>
      </w:rPr>
    </w:lvl>
    <w:lvl w:ilvl="3" w:tplc="B14ADFE8" w:tentative="1">
      <w:start w:val="1"/>
      <w:numFmt w:val="bullet"/>
      <w:lvlText w:val=""/>
      <w:lvlJc w:val="left"/>
      <w:pPr>
        <w:ind w:left="3957" w:hanging="360"/>
      </w:pPr>
      <w:rPr>
        <w:rFonts w:ascii="Symbol" w:hAnsi="Symbol" w:hint="default"/>
      </w:rPr>
    </w:lvl>
    <w:lvl w:ilvl="4" w:tplc="6CD80612" w:tentative="1">
      <w:start w:val="1"/>
      <w:numFmt w:val="bullet"/>
      <w:lvlText w:val="o"/>
      <w:lvlJc w:val="left"/>
      <w:pPr>
        <w:ind w:left="4677" w:hanging="360"/>
      </w:pPr>
      <w:rPr>
        <w:rFonts w:ascii="Courier New" w:hAnsi="Courier New" w:cs="Courier New" w:hint="default"/>
      </w:rPr>
    </w:lvl>
    <w:lvl w:ilvl="5" w:tplc="3DB2618E" w:tentative="1">
      <w:start w:val="1"/>
      <w:numFmt w:val="bullet"/>
      <w:lvlText w:val=""/>
      <w:lvlJc w:val="left"/>
      <w:pPr>
        <w:ind w:left="5397" w:hanging="360"/>
      </w:pPr>
      <w:rPr>
        <w:rFonts w:ascii="Wingdings" w:hAnsi="Wingdings" w:hint="default"/>
      </w:rPr>
    </w:lvl>
    <w:lvl w:ilvl="6" w:tplc="0BCE3840" w:tentative="1">
      <w:start w:val="1"/>
      <w:numFmt w:val="bullet"/>
      <w:lvlText w:val=""/>
      <w:lvlJc w:val="left"/>
      <w:pPr>
        <w:ind w:left="6117" w:hanging="360"/>
      </w:pPr>
      <w:rPr>
        <w:rFonts w:ascii="Symbol" w:hAnsi="Symbol" w:hint="default"/>
      </w:rPr>
    </w:lvl>
    <w:lvl w:ilvl="7" w:tplc="61B2429A" w:tentative="1">
      <w:start w:val="1"/>
      <w:numFmt w:val="bullet"/>
      <w:lvlText w:val="o"/>
      <w:lvlJc w:val="left"/>
      <w:pPr>
        <w:ind w:left="6837" w:hanging="360"/>
      </w:pPr>
      <w:rPr>
        <w:rFonts w:ascii="Courier New" w:hAnsi="Courier New" w:cs="Courier New" w:hint="default"/>
      </w:rPr>
    </w:lvl>
    <w:lvl w:ilvl="8" w:tplc="90187070" w:tentative="1">
      <w:start w:val="1"/>
      <w:numFmt w:val="bullet"/>
      <w:lvlText w:val=""/>
      <w:lvlJc w:val="left"/>
      <w:pPr>
        <w:ind w:left="7557" w:hanging="360"/>
      </w:pPr>
      <w:rPr>
        <w:rFonts w:ascii="Wingdings" w:hAnsi="Wingdings" w:hint="default"/>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65D172F"/>
    <w:multiLevelType w:val="multilevel"/>
    <w:tmpl w:val="53F08300"/>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A432656"/>
    <w:multiLevelType w:val="multilevel"/>
    <w:tmpl w:val="E04422B0"/>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7E116B0"/>
    <w:multiLevelType w:val="hybridMultilevel"/>
    <w:tmpl w:val="571E7018"/>
    <w:lvl w:ilvl="0" w:tplc="041B0017">
      <w:start w:val="1"/>
      <w:numFmt w:val="lowerLetter"/>
      <w:lvlText w:val="%1)"/>
      <w:lvlJc w:val="left"/>
      <w:pPr>
        <w:ind w:left="1080" w:hanging="360"/>
      </w:pPr>
      <w:rPr>
        <w:rFonts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64A12FA4"/>
    <w:multiLevelType w:val="multilevel"/>
    <w:tmpl w:val="428ECF3E"/>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decimal"/>
      <w:pStyle w:val="Nadpis5"/>
      <w:lvlText w:val="%1.%2.%3.%4.%5."/>
      <w:lvlJc w:val="left"/>
      <w:pPr>
        <w:tabs>
          <w:tab w:val="num" w:pos="1417"/>
        </w:tabs>
        <w:ind w:left="1417" w:hanging="1417"/>
      </w:pPr>
    </w:lvl>
    <w:lvl w:ilvl="5">
      <w:start w:val="1"/>
      <w:numFmt w:val="decimal"/>
      <w:pStyle w:val="Nadpis6"/>
      <w:lvlText w:val="%1.%2.%3.%4.%5.%6."/>
      <w:lvlJc w:val="left"/>
      <w:pPr>
        <w:tabs>
          <w:tab w:val="num" w:pos="1417"/>
        </w:tabs>
        <w:ind w:left="1417" w:hanging="1417"/>
      </w:pPr>
    </w:lvl>
    <w:lvl w:ilvl="6">
      <w:start w:val="1"/>
      <w:numFmt w:val="decimal"/>
      <w:pStyle w:val="Nadpis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0437250">
    <w:abstractNumId w:val="18"/>
  </w:num>
  <w:num w:numId="2" w16cid:durableId="95298708">
    <w:abstractNumId w:val="18"/>
  </w:num>
  <w:num w:numId="3" w16cid:durableId="802700955">
    <w:abstractNumId w:val="18"/>
  </w:num>
  <w:num w:numId="4" w16cid:durableId="1127968917">
    <w:abstractNumId w:val="18"/>
  </w:num>
  <w:num w:numId="5" w16cid:durableId="223375932">
    <w:abstractNumId w:val="17"/>
  </w:num>
  <w:num w:numId="6" w16cid:durableId="1928878745">
    <w:abstractNumId w:val="17"/>
  </w:num>
  <w:num w:numId="7" w16cid:durableId="1198002612">
    <w:abstractNumId w:val="13"/>
  </w:num>
  <w:num w:numId="8" w16cid:durableId="537358098">
    <w:abstractNumId w:val="13"/>
  </w:num>
  <w:num w:numId="9" w16cid:durableId="70546065">
    <w:abstractNumId w:val="13"/>
  </w:num>
  <w:num w:numId="10" w16cid:durableId="1999067676">
    <w:abstractNumId w:val="16"/>
  </w:num>
  <w:num w:numId="11" w16cid:durableId="269362632">
    <w:abstractNumId w:val="21"/>
  </w:num>
  <w:num w:numId="12" w16cid:durableId="943927640">
    <w:abstractNumId w:val="22"/>
  </w:num>
  <w:num w:numId="13" w16cid:durableId="547230529">
    <w:abstractNumId w:val="12"/>
  </w:num>
  <w:num w:numId="14" w16cid:durableId="2009407815">
    <w:abstractNumId w:val="19"/>
  </w:num>
  <w:num w:numId="15" w16cid:durableId="1698462345">
    <w:abstractNumId w:val="24"/>
  </w:num>
  <w:num w:numId="16" w16cid:durableId="892229723">
    <w:abstractNumId w:val="23"/>
  </w:num>
  <w:num w:numId="17" w16cid:durableId="1119881883">
    <w:abstractNumId w:val="23"/>
  </w:num>
  <w:num w:numId="18" w16cid:durableId="599681503">
    <w:abstractNumId w:val="23"/>
  </w:num>
  <w:num w:numId="19" w16cid:durableId="1686903954">
    <w:abstractNumId w:val="7"/>
  </w:num>
  <w:num w:numId="20" w16cid:durableId="631178489">
    <w:abstractNumId w:val="7"/>
  </w:num>
  <w:num w:numId="21" w16cid:durableId="1567259895">
    <w:abstractNumId w:val="5"/>
  </w:num>
  <w:num w:numId="22" w16cid:durableId="503668344">
    <w:abstractNumId w:val="5"/>
  </w:num>
  <w:num w:numId="23" w16cid:durableId="879128238">
    <w:abstractNumId w:val="4"/>
  </w:num>
  <w:num w:numId="24" w16cid:durableId="811755485">
    <w:abstractNumId w:val="4"/>
  </w:num>
  <w:num w:numId="25" w16cid:durableId="1182821169">
    <w:abstractNumId w:val="3"/>
  </w:num>
  <w:num w:numId="26" w16cid:durableId="2072803304">
    <w:abstractNumId w:val="3"/>
  </w:num>
  <w:num w:numId="27" w16cid:durableId="901209961">
    <w:abstractNumId w:val="6"/>
  </w:num>
  <w:num w:numId="28" w16cid:durableId="1397050786">
    <w:abstractNumId w:val="6"/>
  </w:num>
  <w:num w:numId="29" w16cid:durableId="412436934">
    <w:abstractNumId w:val="2"/>
  </w:num>
  <w:num w:numId="30" w16cid:durableId="1511329551">
    <w:abstractNumId w:val="2"/>
  </w:num>
  <w:num w:numId="31" w16cid:durableId="1226718118">
    <w:abstractNumId w:val="1"/>
  </w:num>
  <w:num w:numId="32" w16cid:durableId="845631935">
    <w:abstractNumId w:val="1"/>
  </w:num>
  <w:num w:numId="33" w16cid:durableId="829950576">
    <w:abstractNumId w:val="0"/>
  </w:num>
  <w:num w:numId="34" w16cid:durableId="124978832">
    <w:abstractNumId w:val="0"/>
  </w:num>
  <w:num w:numId="35" w16cid:durableId="1160271050">
    <w:abstractNumId w:val="11"/>
  </w:num>
  <w:num w:numId="36" w16cid:durableId="1643347455">
    <w:abstractNumId w:val="11"/>
  </w:num>
  <w:num w:numId="37" w16cid:durableId="1378965735">
    <w:abstractNumId w:val="11"/>
  </w:num>
  <w:num w:numId="38" w16cid:durableId="917060653">
    <w:abstractNumId w:val="11"/>
  </w:num>
  <w:num w:numId="39" w16cid:durableId="1222130312">
    <w:abstractNumId w:val="11"/>
  </w:num>
  <w:num w:numId="40" w16cid:durableId="1611668214">
    <w:abstractNumId w:val="11"/>
  </w:num>
  <w:num w:numId="41" w16cid:durableId="458106537">
    <w:abstractNumId w:val="11"/>
  </w:num>
  <w:num w:numId="42" w16cid:durableId="960915140">
    <w:abstractNumId w:val="8"/>
  </w:num>
  <w:num w:numId="43" w16cid:durableId="1221357290">
    <w:abstractNumId w:val="10"/>
  </w:num>
  <w:num w:numId="44" w16cid:durableId="1762600965">
    <w:abstractNumId w:val="14"/>
  </w:num>
  <w:num w:numId="45" w16cid:durableId="456683585">
    <w:abstractNumId w:val="8"/>
    <w:lvlOverride w:ilvl="0">
      <w:startOverride w:val="1"/>
    </w:lvlOverride>
  </w:num>
  <w:num w:numId="46" w16cid:durableId="1231117790">
    <w:abstractNumId w:val="9"/>
  </w:num>
  <w:num w:numId="47" w16cid:durableId="659576517">
    <w:abstractNumId w:val="20"/>
  </w:num>
  <w:num w:numId="48" w16cid:durableId="3604704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D4BDB"/>
    <w:rsid w:val="000216FC"/>
    <w:rsid w:val="00023793"/>
    <w:rsid w:val="0002601F"/>
    <w:rsid w:val="000530AA"/>
    <w:rsid w:val="00053A8E"/>
    <w:rsid w:val="00055092"/>
    <w:rsid w:val="00061517"/>
    <w:rsid w:val="00061AD8"/>
    <w:rsid w:val="00073E1D"/>
    <w:rsid w:val="000A0CEC"/>
    <w:rsid w:val="000C3D88"/>
    <w:rsid w:val="000F6C9A"/>
    <w:rsid w:val="00130A62"/>
    <w:rsid w:val="0013541D"/>
    <w:rsid w:val="00174207"/>
    <w:rsid w:val="001A0858"/>
    <w:rsid w:val="001C1BEB"/>
    <w:rsid w:val="001C4DC3"/>
    <w:rsid w:val="001C57A6"/>
    <w:rsid w:val="001E26F9"/>
    <w:rsid w:val="001F5C64"/>
    <w:rsid w:val="0020475A"/>
    <w:rsid w:val="00213BD4"/>
    <w:rsid w:val="002153F7"/>
    <w:rsid w:val="00226850"/>
    <w:rsid w:val="00231B31"/>
    <w:rsid w:val="00245BB1"/>
    <w:rsid w:val="00255B1E"/>
    <w:rsid w:val="00273543"/>
    <w:rsid w:val="00282A3F"/>
    <w:rsid w:val="00285DB1"/>
    <w:rsid w:val="00292AD5"/>
    <w:rsid w:val="00296C7B"/>
    <w:rsid w:val="002A2AC8"/>
    <w:rsid w:val="002B255A"/>
    <w:rsid w:val="002D363F"/>
    <w:rsid w:val="00300E24"/>
    <w:rsid w:val="003036B6"/>
    <w:rsid w:val="00305102"/>
    <w:rsid w:val="003172AB"/>
    <w:rsid w:val="003354A0"/>
    <w:rsid w:val="003358A3"/>
    <w:rsid w:val="0034064B"/>
    <w:rsid w:val="003504A9"/>
    <w:rsid w:val="00352912"/>
    <w:rsid w:val="00384DC5"/>
    <w:rsid w:val="003A0A62"/>
    <w:rsid w:val="003A0C0C"/>
    <w:rsid w:val="003B2FDC"/>
    <w:rsid w:val="003C7773"/>
    <w:rsid w:val="003F772A"/>
    <w:rsid w:val="00400024"/>
    <w:rsid w:val="00407127"/>
    <w:rsid w:val="0041673B"/>
    <w:rsid w:val="004210FB"/>
    <w:rsid w:val="004425B3"/>
    <w:rsid w:val="00457E62"/>
    <w:rsid w:val="00473044"/>
    <w:rsid w:val="0047552D"/>
    <w:rsid w:val="00483A8A"/>
    <w:rsid w:val="0048768B"/>
    <w:rsid w:val="00496832"/>
    <w:rsid w:val="004A093C"/>
    <w:rsid w:val="004C17F1"/>
    <w:rsid w:val="004D2009"/>
    <w:rsid w:val="004D6135"/>
    <w:rsid w:val="004E79BD"/>
    <w:rsid w:val="00525721"/>
    <w:rsid w:val="005304FB"/>
    <w:rsid w:val="005323E0"/>
    <w:rsid w:val="00534B9A"/>
    <w:rsid w:val="00555156"/>
    <w:rsid w:val="00555F8C"/>
    <w:rsid w:val="005574C8"/>
    <w:rsid w:val="00557D18"/>
    <w:rsid w:val="00564CBC"/>
    <w:rsid w:val="00564ECD"/>
    <w:rsid w:val="005867D1"/>
    <w:rsid w:val="005B6578"/>
    <w:rsid w:val="005C4D24"/>
    <w:rsid w:val="005C5A04"/>
    <w:rsid w:val="005D7645"/>
    <w:rsid w:val="005E2EB5"/>
    <w:rsid w:val="005F6269"/>
    <w:rsid w:val="006058C1"/>
    <w:rsid w:val="00614A2A"/>
    <w:rsid w:val="006157D6"/>
    <w:rsid w:val="00621DF5"/>
    <w:rsid w:val="00626E82"/>
    <w:rsid w:val="0063050F"/>
    <w:rsid w:val="006449E9"/>
    <w:rsid w:val="00650AAE"/>
    <w:rsid w:val="0066354F"/>
    <w:rsid w:val="006941A1"/>
    <w:rsid w:val="00694F25"/>
    <w:rsid w:val="006A6DA5"/>
    <w:rsid w:val="007034EB"/>
    <w:rsid w:val="00703F7B"/>
    <w:rsid w:val="007077A4"/>
    <w:rsid w:val="0072191F"/>
    <w:rsid w:val="00723917"/>
    <w:rsid w:val="007279FD"/>
    <w:rsid w:val="0073131A"/>
    <w:rsid w:val="00741D20"/>
    <w:rsid w:val="00742551"/>
    <w:rsid w:val="00746F75"/>
    <w:rsid w:val="007562EF"/>
    <w:rsid w:val="0075790E"/>
    <w:rsid w:val="00777D2A"/>
    <w:rsid w:val="007A1106"/>
    <w:rsid w:val="007A74EE"/>
    <w:rsid w:val="007C35B3"/>
    <w:rsid w:val="007D4BDB"/>
    <w:rsid w:val="007D74F9"/>
    <w:rsid w:val="007D7B5B"/>
    <w:rsid w:val="007E6226"/>
    <w:rsid w:val="007F1484"/>
    <w:rsid w:val="007F2DDC"/>
    <w:rsid w:val="007F33F5"/>
    <w:rsid w:val="0080432F"/>
    <w:rsid w:val="008140B8"/>
    <w:rsid w:val="00845D37"/>
    <w:rsid w:val="008544B6"/>
    <w:rsid w:val="00867B7C"/>
    <w:rsid w:val="00867EB1"/>
    <w:rsid w:val="008760A1"/>
    <w:rsid w:val="00877B16"/>
    <w:rsid w:val="008951E8"/>
    <w:rsid w:val="008B4E9E"/>
    <w:rsid w:val="008C152B"/>
    <w:rsid w:val="008E71E6"/>
    <w:rsid w:val="00902B0E"/>
    <w:rsid w:val="00916AE8"/>
    <w:rsid w:val="009214E2"/>
    <w:rsid w:val="00935956"/>
    <w:rsid w:val="0094572E"/>
    <w:rsid w:val="00962EAE"/>
    <w:rsid w:val="00965825"/>
    <w:rsid w:val="00971BD1"/>
    <w:rsid w:val="00976056"/>
    <w:rsid w:val="00977230"/>
    <w:rsid w:val="0098319D"/>
    <w:rsid w:val="00992B5E"/>
    <w:rsid w:val="00993288"/>
    <w:rsid w:val="009940EF"/>
    <w:rsid w:val="009A2D34"/>
    <w:rsid w:val="009B0CDA"/>
    <w:rsid w:val="009C1133"/>
    <w:rsid w:val="009E7DD4"/>
    <w:rsid w:val="009F62CB"/>
    <w:rsid w:val="00A07FC5"/>
    <w:rsid w:val="00A4098E"/>
    <w:rsid w:val="00A55890"/>
    <w:rsid w:val="00A81EB8"/>
    <w:rsid w:val="00A83BD9"/>
    <w:rsid w:val="00AA7B4D"/>
    <w:rsid w:val="00AB1439"/>
    <w:rsid w:val="00AB7F0D"/>
    <w:rsid w:val="00AC578E"/>
    <w:rsid w:val="00B16ACF"/>
    <w:rsid w:val="00B25D1D"/>
    <w:rsid w:val="00B36AED"/>
    <w:rsid w:val="00B37B54"/>
    <w:rsid w:val="00B511CB"/>
    <w:rsid w:val="00B600C9"/>
    <w:rsid w:val="00B70962"/>
    <w:rsid w:val="00B729DC"/>
    <w:rsid w:val="00B83AF3"/>
    <w:rsid w:val="00BA29BC"/>
    <w:rsid w:val="00BA384F"/>
    <w:rsid w:val="00BC5E62"/>
    <w:rsid w:val="00BC6A54"/>
    <w:rsid w:val="00BD4857"/>
    <w:rsid w:val="00BF5BAB"/>
    <w:rsid w:val="00C01F2C"/>
    <w:rsid w:val="00C10D6B"/>
    <w:rsid w:val="00C21EF9"/>
    <w:rsid w:val="00C24465"/>
    <w:rsid w:val="00C27F51"/>
    <w:rsid w:val="00C43034"/>
    <w:rsid w:val="00C6059E"/>
    <w:rsid w:val="00C60826"/>
    <w:rsid w:val="00C66A16"/>
    <w:rsid w:val="00C67855"/>
    <w:rsid w:val="00C74E85"/>
    <w:rsid w:val="00C753DA"/>
    <w:rsid w:val="00C833AC"/>
    <w:rsid w:val="00C8371F"/>
    <w:rsid w:val="00CA2FE4"/>
    <w:rsid w:val="00CB4B08"/>
    <w:rsid w:val="00CC059B"/>
    <w:rsid w:val="00CC2410"/>
    <w:rsid w:val="00CC321F"/>
    <w:rsid w:val="00CC5A11"/>
    <w:rsid w:val="00CD23CC"/>
    <w:rsid w:val="00CD66CB"/>
    <w:rsid w:val="00CE1257"/>
    <w:rsid w:val="00D0591E"/>
    <w:rsid w:val="00D42133"/>
    <w:rsid w:val="00D533D3"/>
    <w:rsid w:val="00D67EFF"/>
    <w:rsid w:val="00D71948"/>
    <w:rsid w:val="00D73A08"/>
    <w:rsid w:val="00D76358"/>
    <w:rsid w:val="00D81D03"/>
    <w:rsid w:val="00D865A5"/>
    <w:rsid w:val="00D973F4"/>
    <w:rsid w:val="00DA5E4B"/>
    <w:rsid w:val="00DB22C1"/>
    <w:rsid w:val="00DF53A3"/>
    <w:rsid w:val="00DF64E6"/>
    <w:rsid w:val="00E043EC"/>
    <w:rsid w:val="00E04515"/>
    <w:rsid w:val="00E119E0"/>
    <w:rsid w:val="00E11FFF"/>
    <w:rsid w:val="00E17BF3"/>
    <w:rsid w:val="00E3722E"/>
    <w:rsid w:val="00E54D88"/>
    <w:rsid w:val="00E61A7D"/>
    <w:rsid w:val="00E63F17"/>
    <w:rsid w:val="00E6658B"/>
    <w:rsid w:val="00E67B81"/>
    <w:rsid w:val="00E81978"/>
    <w:rsid w:val="00E8284D"/>
    <w:rsid w:val="00E861D1"/>
    <w:rsid w:val="00E90987"/>
    <w:rsid w:val="00E91E82"/>
    <w:rsid w:val="00EA69D3"/>
    <w:rsid w:val="00EB18D9"/>
    <w:rsid w:val="00ED047C"/>
    <w:rsid w:val="00ED6303"/>
    <w:rsid w:val="00EE7275"/>
    <w:rsid w:val="00EF0DAA"/>
    <w:rsid w:val="00EF5A07"/>
    <w:rsid w:val="00F00039"/>
    <w:rsid w:val="00F12804"/>
    <w:rsid w:val="00F166A9"/>
    <w:rsid w:val="00F17FD5"/>
    <w:rsid w:val="00F270E9"/>
    <w:rsid w:val="00F30332"/>
    <w:rsid w:val="00F375B0"/>
    <w:rsid w:val="00F40D8D"/>
    <w:rsid w:val="00F5269D"/>
    <w:rsid w:val="00F53AA0"/>
    <w:rsid w:val="00F57A1C"/>
    <w:rsid w:val="00F7733F"/>
    <w:rsid w:val="00F92622"/>
    <w:rsid w:val="00F9321B"/>
    <w:rsid w:val="00FA4A70"/>
    <w:rsid w:val="00FA7F61"/>
    <w:rsid w:val="00FB668F"/>
    <w:rsid w:val="00FC6CA0"/>
    <w:rsid w:val="00FD0EA5"/>
    <w:rsid w:val="00FD5EDA"/>
    <w:rsid w:val="00FE088A"/>
    <w:rsid w:val="00FF413E"/>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9E80"/>
  <w15:chartTrackingRefBased/>
  <w15:docId w15:val="{7B24709C-F050-4D12-9197-E3858D2F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4BDB"/>
    <w:pPr>
      <w:spacing w:before="120" w:after="120" w:line="240" w:lineRule="auto"/>
      <w:jc w:val="both"/>
    </w:pPr>
    <w:rPr>
      <w:rFonts w:ascii="Times New Roman" w:hAnsi="Times New Roman" w:cs="Times New Roman"/>
      <w:kern w:val="0"/>
      <w:sz w:val="24"/>
      <w:lang w:val="sk-SK"/>
      <w14:ligatures w14:val="none"/>
    </w:rPr>
  </w:style>
  <w:style w:type="paragraph" w:styleId="Nadpis1">
    <w:name w:val="heading 1"/>
    <w:basedOn w:val="Normlny"/>
    <w:next w:val="Normlny"/>
    <w:link w:val="Nadpis1Char"/>
    <w:qFormat/>
    <w:rsid w:val="003504A9"/>
    <w:pPr>
      <w:keepNext/>
      <w:numPr>
        <w:numId w:val="18"/>
      </w:numPr>
      <w:spacing w:before="240"/>
      <w:outlineLvl w:val="0"/>
    </w:pPr>
    <w:rPr>
      <w:b/>
      <w:smallCaps/>
    </w:rPr>
  </w:style>
  <w:style w:type="paragraph" w:styleId="Nadpis2">
    <w:name w:val="heading 2"/>
    <w:basedOn w:val="Normlny"/>
    <w:next w:val="Normlny"/>
    <w:link w:val="Nadpis2Char"/>
    <w:qFormat/>
    <w:rsid w:val="003504A9"/>
    <w:pPr>
      <w:keepNext/>
      <w:numPr>
        <w:ilvl w:val="1"/>
        <w:numId w:val="18"/>
      </w:numPr>
      <w:outlineLvl w:val="1"/>
    </w:pPr>
    <w:rPr>
      <w:b/>
    </w:rPr>
  </w:style>
  <w:style w:type="paragraph" w:styleId="Nadpis3">
    <w:name w:val="heading 3"/>
    <w:basedOn w:val="Normlny"/>
    <w:next w:val="Normlny"/>
    <w:link w:val="Nadpis3Char"/>
    <w:qFormat/>
    <w:rsid w:val="003504A9"/>
    <w:pPr>
      <w:keepNext/>
      <w:numPr>
        <w:ilvl w:val="2"/>
        <w:numId w:val="18"/>
      </w:numPr>
      <w:outlineLvl w:val="2"/>
    </w:pPr>
    <w:rPr>
      <w:i/>
    </w:rPr>
  </w:style>
  <w:style w:type="paragraph" w:styleId="Nadpis4">
    <w:name w:val="heading 4"/>
    <w:basedOn w:val="Normlny"/>
    <w:next w:val="Normlny"/>
    <w:link w:val="Nadpis4Char"/>
    <w:qFormat/>
    <w:rsid w:val="003504A9"/>
    <w:pPr>
      <w:keepNext/>
      <w:numPr>
        <w:ilvl w:val="3"/>
        <w:numId w:val="18"/>
      </w:numPr>
      <w:outlineLvl w:val="3"/>
    </w:pPr>
  </w:style>
  <w:style w:type="paragraph" w:styleId="Nadpis5">
    <w:name w:val="heading 5"/>
    <w:basedOn w:val="Normlny"/>
    <w:next w:val="Normlny"/>
    <w:link w:val="Nadpis5Char"/>
    <w:uiPriority w:val="9"/>
    <w:semiHidden/>
    <w:unhideWhenUsed/>
    <w:qFormat/>
    <w:rsid w:val="009E7DD4"/>
    <w:pPr>
      <w:keepNext/>
      <w:numPr>
        <w:ilvl w:val="4"/>
        <w:numId w:val="18"/>
      </w:numPr>
      <w:outlineLvl w:val="4"/>
    </w:pPr>
    <w:rPr>
      <w:rFonts w:eastAsiaTheme="majorEastAsia"/>
    </w:rPr>
  </w:style>
  <w:style w:type="paragraph" w:styleId="Nadpis6">
    <w:name w:val="heading 6"/>
    <w:basedOn w:val="Normlny"/>
    <w:next w:val="Normlny"/>
    <w:link w:val="Nadpis6Char"/>
    <w:uiPriority w:val="9"/>
    <w:semiHidden/>
    <w:unhideWhenUsed/>
    <w:qFormat/>
    <w:rsid w:val="009E7DD4"/>
    <w:pPr>
      <w:keepNext/>
      <w:numPr>
        <w:ilvl w:val="5"/>
        <w:numId w:val="18"/>
      </w:numPr>
      <w:outlineLvl w:val="5"/>
    </w:pPr>
    <w:rPr>
      <w:rFonts w:eastAsiaTheme="majorEastAsia"/>
      <w:iCs/>
    </w:rPr>
  </w:style>
  <w:style w:type="paragraph" w:styleId="Nadpis7">
    <w:name w:val="heading 7"/>
    <w:basedOn w:val="Normlny"/>
    <w:next w:val="Normlny"/>
    <w:link w:val="Nadpis7Char"/>
    <w:uiPriority w:val="9"/>
    <w:semiHidden/>
    <w:unhideWhenUsed/>
    <w:qFormat/>
    <w:rsid w:val="009E7DD4"/>
    <w:pPr>
      <w:keepNext/>
      <w:numPr>
        <w:ilvl w:val="6"/>
        <w:numId w:val="18"/>
      </w:numPr>
      <w:outlineLvl w:val="6"/>
    </w:pPr>
    <w:rPr>
      <w:rFonts w:eastAsiaTheme="majorEastAsia"/>
      <w:iCs/>
    </w:rPr>
  </w:style>
  <w:style w:type="paragraph" w:styleId="Nadpis8">
    <w:name w:val="heading 8"/>
    <w:basedOn w:val="Normlny"/>
    <w:next w:val="Normlny"/>
    <w:link w:val="Nadpis8Char"/>
    <w:uiPriority w:val="9"/>
    <w:semiHidden/>
    <w:unhideWhenUsed/>
    <w:qFormat/>
    <w:rsid w:val="007D4BDB"/>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7D4BDB"/>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0NR">
    <w:name w:val="Heading 0 NR"/>
    <w:basedOn w:val="Normlny"/>
    <w:link w:val="Heading0NRChar"/>
    <w:autoRedefine/>
    <w:rsid w:val="003504A9"/>
    <w:pPr>
      <w:keepNext/>
      <w:framePr w:wrap="notBeside" w:vAnchor="text" w:hAnchor="text" w:y="1"/>
      <w:pBdr>
        <w:bottom w:val="single" w:sz="4" w:space="1" w:color="auto"/>
      </w:pBdr>
      <w:spacing w:before="240" w:after="280"/>
      <w:ind w:left="709" w:hanging="709"/>
      <w:outlineLvl w:val="0"/>
    </w:pPr>
    <w:rPr>
      <w:b/>
      <w:bCs/>
      <w:smallCaps/>
      <w:sz w:val="44"/>
      <w:lang w:val="fr-BE"/>
    </w:rPr>
  </w:style>
  <w:style w:type="character" w:customStyle="1" w:styleId="Heading0NRChar">
    <w:name w:val="Heading 0 NR Char"/>
    <w:link w:val="Heading0NR"/>
    <w:rsid w:val="003504A9"/>
    <w:rPr>
      <w:b/>
      <w:bCs/>
      <w:smallCaps/>
      <w:sz w:val="44"/>
      <w:lang w:val="fr-BE"/>
    </w:rPr>
  </w:style>
  <w:style w:type="character" w:customStyle="1" w:styleId="Nadpis1Char">
    <w:name w:val="Nadpis 1 Char"/>
    <w:link w:val="Nadpis1"/>
    <w:rsid w:val="003504A9"/>
    <w:rPr>
      <w:b/>
      <w:smallCaps/>
    </w:rPr>
  </w:style>
  <w:style w:type="character" w:customStyle="1" w:styleId="Nadpis2Char">
    <w:name w:val="Nadpis 2 Char"/>
    <w:basedOn w:val="Predvolenpsmoodseku"/>
    <w:link w:val="Nadpis2"/>
    <w:rsid w:val="003504A9"/>
    <w:rPr>
      <w:b/>
    </w:rPr>
  </w:style>
  <w:style w:type="character" w:customStyle="1" w:styleId="Nadpis3Char">
    <w:name w:val="Nadpis 3 Char"/>
    <w:basedOn w:val="Predvolenpsmoodseku"/>
    <w:link w:val="Nadpis3"/>
    <w:rsid w:val="003504A9"/>
    <w:rPr>
      <w:i/>
    </w:rPr>
  </w:style>
  <w:style w:type="character" w:customStyle="1" w:styleId="Nadpis4Char">
    <w:name w:val="Nadpis 4 Char"/>
    <w:basedOn w:val="Predvolenpsmoodseku"/>
    <w:link w:val="Nadpis4"/>
    <w:rsid w:val="003504A9"/>
  </w:style>
  <w:style w:type="paragraph" w:customStyle="1" w:styleId="ListNumber1">
    <w:name w:val="List Number 1"/>
    <w:basedOn w:val="Normlny"/>
    <w:qFormat/>
    <w:rsid w:val="007562EF"/>
    <w:pPr>
      <w:numPr>
        <w:numId w:val="6"/>
      </w:numPr>
    </w:pPr>
  </w:style>
  <w:style w:type="paragraph" w:styleId="Textpoznmkypodiarou">
    <w:name w:val="footnote text"/>
    <w:basedOn w:val="Normlny"/>
    <w:link w:val="TextpoznmkypodiarouChar"/>
    <w:uiPriority w:val="99"/>
    <w:unhideWhenUsed/>
    <w:rsid w:val="0094572E"/>
    <w:pPr>
      <w:spacing w:after="0"/>
      <w:ind w:left="720" w:hanging="720"/>
    </w:pPr>
    <w:rPr>
      <w:sz w:val="20"/>
      <w:szCs w:val="20"/>
    </w:rPr>
  </w:style>
  <w:style w:type="character" w:customStyle="1" w:styleId="TextpoznmkypodiarouChar">
    <w:name w:val="Text poznámky pod čiarou Char"/>
    <w:basedOn w:val="Predvolenpsmoodseku"/>
    <w:link w:val="Textpoznmkypodiarou"/>
    <w:uiPriority w:val="99"/>
    <w:rsid w:val="0094572E"/>
    <w:rPr>
      <w:rFonts w:ascii="Times New Roman" w:hAnsi="Times New Roman" w:cs="Times New Roman"/>
      <w:sz w:val="20"/>
      <w:szCs w:val="20"/>
    </w:rPr>
  </w:style>
  <w:style w:type="paragraph" w:customStyle="1" w:styleId="ContNum">
    <w:name w:val="ContNum"/>
    <w:basedOn w:val="Normlny"/>
    <w:uiPriority w:val="1"/>
    <w:qFormat/>
    <w:rsid w:val="00F53AA0"/>
    <w:pPr>
      <w:numPr>
        <w:numId w:val="9"/>
      </w:numPr>
      <w:spacing w:after="240"/>
    </w:pPr>
    <w:rPr>
      <w:rFonts w:eastAsia="Times New Roman"/>
      <w:szCs w:val="20"/>
      <w:lang w:eastAsia="fr-BE"/>
    </w:rPr>
  </w:style>
  <w:style w:type="paragraph" w:customStyle="1" w:styleId="ContNumLevel2">
    <w:name w:val="ContNum (Level 2)"/>
    <w:basedOn w:val="Normlny"/>
    <w:uiPriority w:val="1"/>
    <w:rsid w:val="00F53AA0"/>
    <w:pPr>
      <w:numPr>
        <w:ilvl w:val="1"/>
        <w:numId w:val="9"/>
      </w:numPr>
      <w:spacing w:after="240"/>
    </w:pPr>
    <w:rPr>
      <w:rFonts w:eastAsia="Times New Roman"/>
      <w:szCs w:val="20"/>
      <w:lang w:eastAsia="fr-BE"/>
    </w:rPr>
  </w:style>
  <w:style w:type="paragraph" w:customStyle="1" w:styleId="ContNumLevel3">
    <w:name w:val="ContNum (Level 3)"/>
    <w:basedOn w:val="Normlny"/>
    <w:uiPriority w:val="1"/>
    <w:rsid w:val="00F53AA0"/>
    <w:pPr>
      <w:numPr>
        <w:ilvl w:val="2"/>
        <w:numId w:val="9"/>
      </w:numPr>
      <w:spacing w:after="240"/>
    </w:pPr>
    <w:rPr>
      <w:rFonts w:eastAsia="Times New Roman"/>
      <w:szCs w:val="20"/>
      <w:lang w:eastAsia="fr-BE"/>
    </w:rPr>
  </w:style>
  <w:style w:type="paragraph" w:customStyle="1" w:styleId="Accompagnant">
    <w:name w:val="Accompagnant"/>
    <w:basedOn w:val="Normlny"/>
    <w:next w:val="Normlny"/>
    <w:rsid w:val="009E7DD4"/>
    <w:pPr>
      <w:spacing w:after="240"/>
      <w:jc w:val="center"/>
    </w:pPr>
    <w:rPr>
      <w:b/>
      <w:i/>
    </w:rPr>
  </w:style>
  <w:style w:type="paragraph" w:customStyle="1" w:styleId="AccompagnantPagedecouverture">
    <w:name w:val="Accompagnant (Page de couverture)"/>
    <w:basedOn w:val="Accompagnant"/>
    <w:next w:val="Normlny"/>
    <w:rsid w:val="009E7DD4"/>
  </w:style>
  <w:style w:type="character" w:customStyle="1" w:styleId="Added">
    <w:name w:val="Added"/>
    <w:basedOn w:val="Predvolenpsmoodseku"/>
    <w:rsid w:val="009E7DD4"/>
    <w:rPr>
      <w:b/>
      <w:u w:val="single"/>
      <w:shd w:val="clear" w:color="auto" w:fill="auto"/>
    </w:rPr>
  </w:style>
  <w:style w:type="paragraph" w:customStyle="1" w:styleId="Address">
    <w:name w:val="Address"/>
    <w:basedOn w:val="Normlny"/>
    <w:next w:val="Normlny"/>
    <w:rsid w:val="009E7DD4"/>
    <w:pPr>
      <w:keepLines/>
      <w:spacing w:line="360" w:lineRule="auto"/>
      <w:ind w:left="3402"/>
    </w:pPr>
  </w:style>
  <w:style w:type="paragraph" w:customStyle="1" w:styleId="Annexetitre">
    <w:name w:val="Annexe titre"/>
    <w:basedOn w:val="Normlny"/>
    <w:next w:val="Normlny"/>
    <w:rsid w:val="009E7DD4"/>
    <w:pPr>
      <w:jc w:val="center"/>
    </w:pPr>
    <w:rPr>
      <w:b/>
      <w:u w:val="single"/>
    </w:rPr>
  </w:style>
  <w:style w:type="paragraph" w:customStyle="1" w:styleId="Annexetitreexpos">
    <w:name w:val="Annexe titre (exposé)"/>
    <w:basedOn w:val="Normlny"/>
    <w:next w:val="Normlny"/>
    <w:rsid w:val="009E7DD4"/>
    <w:pPr>
      <w:jc w:val="center"/>
    </w:pPr>
    <w:rPr>
      <w:b/>
      <w:u w:val="single"/>
    </w:rPr>
  </w:style>
  <w:style w:type="paragraph" w:customStyle="1" w:styleId="Annexetitrefichefinancire">
    <w:name w:val="Annexe titre (fiche financière)"/>
    <w:basedOn w:val="Normlny"/>
    <w:next w:val="Normlny"/>
    <w:rsid w:val="009E7DD4"/>
    <w:pPr>
      <w:jc w:val="center"/>
    </w:pPr>
    <w:rPr>
      <w:b/>
      <w:u w:val="single"/>
    </w:rPr>
  </w:style>
  <w:style w:type="paragraph" w:customStyle="1" w:styleId="Applicationdirecte">
    <w:name w:val="Application directe"/>
    <w:basedOn w:val="Normlny"/>
    <w:next w:val="Normlny"/>
    <w:rsid w:val="009E7DD4"/>
    <w:pPr>
      <w:spacing w:before="480"/>
    </w:pPr>
  </w:style>
  <w:style w:type="character" w:customStyle="1" w:styleId="Aucun">
    <w:name w:val="Aucun"/>
    <w:rsid w:val="009E7DD4"/>
    <w:rPr>
      <w:lang w:val="en-US"/>
    </w:rPr>
  </w:style>
  <w:style w:type="paragraph" w:customStyle="1" w:styleId="Avertissementtitre">
    <w:name w:val="Avertissement titre"/>
    <w:basedOn w:val="Normlny"/>
    <w:next w:val="Normlny"/>
    <w:rsid w:val="009E7DD4"/>
    <w:pPr>
      <w:keepNext/>
      <w:spacing w:before="480"/>
    </w:pPr>
    <w:rPr>
      <w:u w:val="single"/>
    </w:rPr>
  </w:style>
  <w:style w:type="paragraph" w:styleId="Textbubliny">
    <w:name w:val="Balloon Text"/>
    <w:basedOn w:val="Normlny"/>
    <w:link w:val="TextbublinyChar"/>
    <w:uiPriority w:val="99"/>
    <w:semiHidden/>
    <w:unhideWhenUsed/>
    <w:rsid w:val="009E7D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7DD4"/>
    <w:rPr>
      <w:rFonts w:ascii="Segoe UI" w:hAnsi="Segoe UI" w:cs="Segoe UI"/>
      <w:sz w:val="18"/>
      <w:szCs w:val="18"/>
    </w:rPr>
  </w:style>
  <w:style w:type="paragraph" w:customStyle="1" w:styleId="Bullet0">
    <w:name w:val="Bullet 0"/>
    <w:basedOn w:val="Normlny"/>
    <w:rsid w:val="009E7DD4"/>
    <w:pPr>
      <w:numPr>
        <w:numId w:val="10"/>
      </w:numPr>
    </w:pPr>
  </w:style>
  <w:style w:type="paragraph" w:customStyle="1" w:styleId="Bullet1">
    <w:name w:val="Bullet 1"/>
    <w:basedOn w:val="Normlny"/>
    <w:rsid w:val="009E7DD4"/>
    <w:pPr>
      <w:numPr>
        <w:numId w:val="11"/>
      </w:numPr>
    </w:pPr>
  </w:style>
  <w:style w:type="paragraph" w:customStyle="1" w:styleId="Bullet2">
    <w:name w:val="Bullet 2"/>
    <w:basedOn w:val="Normlny"/>
    <w:rsid w:val="009E7DD4"/>
    <w:pPr>
      <w:numPr>
        <w:numId w:val="12"/>
      </w:numPr>
    </w:pPr>
  </w:style>
  <w:style w:type="paragraph" w:customStyle="1" w:styleId="Bullet3">
    <w:name w:val="Bullet 3"/>
    <w:basedOn w:val="Normlny"/>
    <w:rsid w:val="009E7DD4"/>
    <w:pPr>
      <w:numPr>
        <w:numId w:val="13"/>
      </w:numPr>
    </w:pPr>
  </w:style>
  <w:style w:type="paragraph" w:customStyle="1" w:styleId="Bullet4">
    <w:name w:val="Bullet 4"/>
    <w:basedOn w:val="Normlny"/>
    <w:rsid w:val="009E7DD4"/>
    <w:pPr>
      <w:numPr>
        <w:numId w:val="14"/>
      </w:numPr>
    </w:pPr>
  </w:style>
  <w:style w:type="paragraph" w:styleId="Popis">
    <w:name w:val="caption"/>
    <w:basedOn w:val="Normlny"/>
    <w:next w:val="Normlny"/>
    <w:uiPriority w:val="35"/>
    <w:semiHidden/>
    <w:unhideWhenUsed/>
    <w:qFormat/>
    <w:rsid w:val="009E7DD4"/>
    <w:rPr>
      <w:i/>
      <w:iCs/>
      <w:color w:val="1F497D" w:themeColor="text2"/>
      <w:sz w:val="18"/>
      <w:szCs w:val="18"/>
    </w:rPr>
  </w:style>
  <w:style w:type="paragraph" w:customStyle="1" w:styleId="ChapterTitle">
    <w:name w:val="ChapterTitle"/>
    <w:basedOn w:val="Normlny"/>
    <w:next w:val="Normlny"/>
    <w:rsid w:val="009E7DD4"/>
    <w:pPr>
      <w:keepNext/>
      <w:spacing w:after="360"/>
      <w:jc w:val="center"/>
    </w:pPr>
    <w:rPr>
      <w:b/>
      <w:sz w:val="32"/>
    </w:rPr>
  </w:style>
  <w:style w:type="paragraph" w:customStyle="1" w:styleId="Default">
    <w:name w:val="Default"/>
    <w:rsid w:val="009E7DD4"/>
    <w:pPr>
      <w:autoSpaceDE w:val="0"/>
      <w:autoSpaceDN w:val="0"/>
      <w:adjustRightInd w:val="0"/>
      <w:spacing w:after="0" w:line="240" w:lineRule="auto"/>
    </w:pPr>
    <w:rPr>
      <w:rFonts w:cs="Calibri"/>
      <w:color w:val="000000"/>
      <w:sz w:val="24"/>
      <w:szCs w:val="24"/>
      <w:lang w:val="en-US"/>
    </w:rPr>
  </w:style>
  <w:style w:type="paragraph" w:customStyle="1" w:styleId="CM1">
    <w:name w:val="CM1"/>
    <w:basedOn w:val="Default"/>
    <w:next w:val="Default"/>
    <w:uiPriority w:val="99"/>
    <w:rsid w:val="009E7DD4"/>
    <w:rPr>
      <w:rFonts w:ascii="Times New Roman" w:hAnsi="Times New Roman" w:cs="Times New Roman"/>
      <w:color w:val="auto"/>
      <w:lang w:val="en-GB"/>
    </w:rPr>
  </w:style>
  <w:style w:type="paragraph" w:customStyle="1" w:styleId="CM3">
    <w:name w:val="CM3"/>
    <w:basedOn w:val="Default"/>
    <w:next w:val="Default"/>
    <w:uiPriority w:val="99"/>
    <w:rsid w:val="009E7DD4"/>
    <w:rPr>
      <w:rFonts w:ascii="Times New Roman" w:hAnsi="Times New Roman" w:cs="Times New Roman"/>
      <w:color w:val="auto"/>
      <w:lang w:val="en-GB"/>
    </w:rPr>
  </w:style>
  <w:style w:type="character" w:styleId="Odkaznakomentr">
    <w:name w:val="annotation reference"/>
    <w:basedOn w:val="Predvolenpsmoodseku"/>
    <w:uiPriority w:val="99"/>
    <w:unhideWhenUsed/>
    <w:rsid w:val="009E7DD4"/>
    <w:rPr>
      <w:sz w:val="16"/>
      <w:szCs w:val="16"/>
    </w:rPr>
  </w:style>
  <w:style w:type="paragraph" w:styleId="Textkomentra">
    <w:name w:val="annotation text"/>
    <w:basedOn w:val="Normlny"/>
    <w:link w:val="TextkomentraChar"/>
    <w:uiPriority w:val="99"/>
    <w:unhideWhenUsed/>
    <w:rsid w:val="009E7DD4"/>
    <w:rPr>
      <w:sz w:val="20"/>
      <w:szCs w:val="20"/>
    </w:rPr>
  </w:style>
  <w:style w:type="character" w:customStyle="1" w:styleId="TextkomentraChar">
    <w:name w:val="Text komentára Char"/>
    <w:basedOn w:val="Predvolenpsmoodseku"/>
    <w:link w:val="Textkomentra"/>
    <w:uiPriority w:val="99"/>
    <w:rsid w:val="009E7DD4"/>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E7DD4"/>
    <w:rPr>
      <w:b/>
      <w:bCs/>
    </w:rPr>
  </w:style>
  <w:style w:type="character" w:customStyle="1" w:styleId="PredmetkomentraChar">
    <w:name w:val="Predmet komentára Char"/>
    <w:basedOn w:val="TextkomentraChar"/>
    <w:link w:val="Predmetkomentra"/>
    <w:uiPriority w:val="99"/>
    <w:semiHidden/>
    <w:rsid w:val="009E7DD4"/>
    <w:rPr>
      <w:rFonts w:ascii="Times New Roman" w:hAnsi="Times New Roman" w:cs="Times New Roman"/>
      <w:b/>
      <w:bCs/>
      <w:sz w:val="20"/>
      <w:szCs w:val="20"/>
    </w:rPr>
  </w:style>
  <w:style w:type="paragraph" w:customStyle="1" w:styleId="Confidence">
    <w:name w:val="Confidence"/>
    <w:basedOn w:val="Normlny"/>
    <w:next w:val="Normlny"/>
    <w:rsid w:val="009E7DD4"/>
    <w:pPr>
      <w:spacing w:before="360"/>
      <w:jc w:val="center"/>
    </w:pPr>
  </w:style>
  <w:style w:type="paragraph" w:customStyle="1" w:styleId="Confidentialit">
    <w:name w:val="Confidentialité"/>
    <w:basedOn w:val="Normlny"/>
    <w:next w:val="Normlny"/>
    <w:rsid w:val="009E7DD4"/>
    <w:pPr>
      <w:spacing w:before="240" w:after="240"/>
      <w:ind w:left="5103"/>
    </w:pPr>
    <w:rPr>
      <w:i/>
      <w:sz w:val="32"/>
    </w:rPr>
  </w:style>
  <w:style w:type="paragraph" w:customStyle="1" w:styleId="Considrant">
    <w:name w:val="Considérant"/>
    <w:basedOn w:val="Normlny"/>
    <w:rsid w:val="009E7DD4"/>
    <w:pPr>
      <w:numPr>
        <w:numId w:val="15"/>
      </w:numPr>
    </w:pPr>
  </w:style>
  <w:style w:type="paragraph" w:customStyle="1" w:styleId="Corrigendum">
    <w:name w:val="Corrigendum"/>
    <w:basedOn w:val="Normlny"/>
    <w:next w:val="Normlny"/>
    <w:rsid w:val="009E7DD4"/>
    <w:pPr>
      <w:spacing w:after="240"/>
    </w:pPr>
  </w:style>
  <w:style w:type="paragraph" w:customStyle="1" w:styleId="Datedadoption">
    <w:name w:val="Date d'adoption"/>
    <w:basedOn w:val="Normlny"/>
    <w:next w:val="Normlny"/>
    <w:rsid w:val="009E7DD4"/>
    <w:pPr>
      <w:spacing w:before="360" w:after="0"/>
      <w:jc w:val="center"/>
    </w:pPr>
    <w:rPr>
      <w:b/>
    </w:rPr>
  </w:style>
  <w:style w:type="paragraph" w:customStyle="1" w:styleId="DatedadoptionPagedecouverture">
    <w:name w:val="Date d'adoption (Page de couverture)"/>
    <w:basedOn w:val="Datedadoption"/>
    <w:next w:val="Normlny"/>
    <w:rsid w:val="009E7DD4"/>
  </w:style>
  <w:style w:type="paragraph" w:customStyle="1" w:styleId="DateMarking">
    <w:name w:val="DateMarking"/>
    <w:basedOn w:val="Normlny"/>
    <w:rsid w:val="009E7DD4"/>
    <w:pPr>
      <w:spacing w:after="0"/>
      <w:ind w:left="5103"/>
    </w:pPr>
    <w:rPr>
      <w:i/>
      <w:sz w:val="28"/>
    </w:rPr>
  </w:style>
  <w:style w:type="paragraph" w:customStyle="1" w:styleId="Declassification">
    <w:name w:val="Declassification"/>
    <w:basedOn w:val="Normlny"/>
    <w:next w:val="Normlny"/>
    <w:rsid w:val="009E7DD4"/>
    <w:pPr>
      <w:spacing w:after="0"/>
    </w:pPr>
  </w:style>
  <w:style w:type="character" w:customStyle="1" w:styleId="Deleted">
    <w:name w:val="Deleted"/>
    <w:basedOn w:val="Predvolenpsmoodseku"/>
    <w:rsid w:val="009E7DD4"/>
    <w:rPr>
      <w:strike/>
      <w:dstrike w:val="0"/>
      <w:shd w:val="clear" w:color="auto" w:fill="auto"/>
    </w:rPr>
  </w:style>
  <w:style w:type="paragraph" w:customStyle="1" w:styleId="Disclaimer">
    <w:name w:val="Disclaimer"/>
    <w:basedOn w:val="Normlny"/>
    <w:rsid w:val="009E7DD4"/>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Emission">
    <w:name w:val="Emission"/>
    <w:basedOn w:val="Normlny"/>
    <w:next w:val="Normlny"/>
    <w:rsid w:val="009E7DD4"/>
    <w:pPr>
      <w:spacing w:after="0"/>
      <w:ind w:left="5103"/>
    </w:pPr>
  </w:style>
  <w:style w:type="character" w:styleId="Zvraznenie">
    <w:name w:val="Emphasis"/>
    <w:basedOn w:val="Predvolenpsmoodseku"/>
    <w:uiPriority w:val="20"/>
    <w:qFormat/>
    <w:rsid w:val="009E7DD4"/>
    <w:rPr>
      <w:i/>
      <w:iCs/>
    </w:rPr>
  </w:style>
  <w:style w:type="character" w:styleId="Odkaznavysvetlivku">
    <w:name w:val="endnote reference"/>
    <w:basedOn w:val="Predvolenpsmoodseku"/>
    <w:uiPriority w:val="99"/>
    <w:semiHidden/>
    <w:unhideWhenUsed/>
    <w:rsid w:val="009E7DD4"/>
    <w:rPr>
      <w:vertAlign w:val="superscript"/>
    </w:rPr>
  </w:style>
  <w:style w:type="paragraph" w:styleId="Textvysvetlivky">
    <w:name w:val="endnote text"/>
    <w:basedOn w:val="Normlny"/>
    <w:link w:val="TextvysvetlivkyChar"/>
    <w:uiPriority w:val="99"/>
    <w:semiHidden/>
    <w:unhideWhenUsed/>
    <w:rsid w:val="009E7DD4"/>
    <w:pPr>
      <w:spacing w:after="0"/>
    </w:pPr>
    <w:rPr>
      <w:sz w:val="20"/>
      <w:szCs w:val="20"/>
    </w:rPr>
  </w:style>
  <w:style w:type="character" w:customStyle="1" w:styleId="TextvysvetlivkyChar">
    <w:name w:val="Text vysvetlivky Char"/>
    <w:basedOn w:val="Predvolenpsmoodseku"/>
    <w:link w:val="Textvysvetlivky"/>
    <w:uiPriority w:val="99"/>
    <w:semiHidden/>
    <w:rsid w:val="009E7DD4"/>
    <w:rPr>
      <w:rFonts w:ascii="Times New Roman" w:hAnsi="Times New Roman" w:cs="Times New Roman"/>
      <w:sz w:val="20"/>
      <w:szCs w:val="20"/>
    </w:rPr>
  </w:style>
  <w:style w:type="paragraph" w:customStyle="1" w:styleId="Exposdesmotifstitre">
    <w:name w:val="Exposé des motifs titre"/>
    <w:basedOn w:val="Normlny"/>
    <w:next w:val="Normlny"/>
    <w:rsid w:val="009E7DD4"/>
    <w:pPr>
      <w:jc w:val="center"/>
    </w:pPr>
    <w:rPr>
      <w:b/>
      <w:u w:val="single"/>
    </w:rPr>
  </w:style>
  <w:style w:type="paragraph" w:customStyle="1" w:styleId="Fait">
    <w:name w:val="Fait à"/>
    <w:basedOn w:val="Normlny"/>
    <w:next w:val="Normlny"/>
    <w:rsid w:val="009E7DD4"/>
    <w:pPr>
      <w:keepNext/>
      <w:spacing w:after="0"/>
    </w:pPr>
  </w:style>
  <w:style w:type="paragraph" w:customStyle="1" w:styleId="Fichefinanciretitre">
    <w:name w:val="Fiche financière titre"/>
    <w:basedOn w:val="Normlny"/>
    <w:next w:val="Normlny"/>
    <w:rsid w:val="009E7DD4"/>
    <w:pPr>
      <w:jc w:val="center"/>
    </w:pPr>
    <w:rPr>
      <w:b/>
      <w:u w:val="single"/>
    </w:rPr>
  </w:style>
  <w:style w:type="character" w:styleId="PouitHypertextovPrepojenie">
    <w:name w:val="FollowedHyperlink"/>
    <w:basedOn w:val="Predvolenpsmoodseku"/>
    <w:uiPriority w:val="99"/>
    <w:semiHidden/>
    <w:unhideWhenUsed/>
    <w:rsid w:val="009E7DD4"/>
    <w:rPr>
      <w:color w:val="800080" w:themeColor="followedHyperlink"/>
      <w:u w:val="single"/>
    </w:rPr>
  </w:style>
  <w:style w:type="paragraph" w:styleId="Pta">
    <w:name w:val="footer"/>
    <w:basedOn w:val="Normlny"/>
    <w:link w:val="PtaChar"/>
    <w:uiPriority w:val="99"/>
    <w:unhideWhenUsed/>
    <w:rsid w:val="009E7DD4"/>
    <w:pPr>
      <w:tabs>
        <w:tab w:val="center" w:pos="4535"/>
        <w:tab w:val="right" w:pos="9071"/>
        <w:tab w:val="right" w:pos="9921"/>
      </w:tabs>
      <w:spacing w:before="360" w:after="0"/>
      <w:ind w:left="-850" w:right="-850"/>
    </w:pPr>
  </w:style>
  <w:style w:type="character" w:customStyle="1" w:styleId="PtaChar">
    <w:name w:val="Päta Char"/>
    <w:basedOn w:val="Predvolenpsmoodseku"/>
    <w:link w:val="Pta"/>
    <w:uiPriority w:val="99"/>
    <w:rsid w:val="009E7DD4"/>
    <w:rPr>
      <w:rFonts w:ascii="Times New Roman" w:hAnsi="Times New Roman" w:cs="Times New Roman"/>
      <w:sz w:val="24"/>
    </w:rPr>
  </w:style>
  <w:style w:type="paragraph" w:customStyle="1" w:styleId="FooterSensitivity">
    <w:name w:val="Footer Sensitivity"/>
    <w:basedOn w:val="Normlny"/>
    <w:rsid w:val="009E7DD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FooterLandscape">
    <w:name w:val="FooterLandscape"/>
    <w:basedOn w:val="Normlny"/>
    <w:rsid w:val="009E7DD4"/>
    <w:pPr>
      <w:tabs>
        <w:tab w:val="center" w:pos="7285"/>
        <w:tab w:val="center" w:pos="10913"/>
        <w:tab w:val="right" w:pos="15137"/>
      </w:tabs>
      <w:spacing w:before="360" w:after="0"/>
      <w:ind w:left="-567" w:right="-567"/>
    </w:pPr>
  </w:style>
  <w:style w:type="character" w:styleId="Odkaznapoznmkupodiarou">
    <w:name w:val="footnote reference"/>
    <w:basedOn w:val="Predvolenpsmoodseku"/>
    <w:link w:val="SUPERSChar"/>
    <w:uiPriority w:val="99"/>
    <w:semiHidden/>
    <w:unhideWhenUsed/>
    <w:rsid w:val="009E7DD4"/>
    <w:rPr>
      <w:shd w:val="clear" w:color="auto" w:fill="auto"/>
      <w:vertAlign w:val="superscript"/>
    </w:rPr>
  </w:style>
  <w:style w:type="paragraph" w:customStyle="1" w:styleId="Formuledadoption">
    <w:name w:val="Formule d'adoption"/>
    <w:basedOn w:val="Normlny"/>
    <w:next w:val="Normlny"/>
    <w:rsid w:val="009E7DD4"/>
    <w:pPr>
      <w:keepNext/>
    </w:pPr>
  </w:style>
  <w:style w:type="paragraph" w:styleId="Hlavika">
    <w:name w:val="header"/>
    <w:basedOn w:val="Normlny"/>
    <w:link w:val="HlavikaChar"/>
    <w:uiPriority w:val="99"/>
    <w:unhideWhenUsed/>
    <w:rsid w:val="009E7DD4"/>
    <w:pPr>
      <w:tabs>
        <w:tab w:val="center" w:pos="4535"/>
        <w:tab w:val="right" w:pos="9071"/>
      </w:tabs>
    </w:pPr>
  </w:style>
  <w:style w:type="character" w:customStyle="1" w:styleId="HlavikaChar">
    <w:name w:val="Hlavička Char"/>
    <w:basedOn w:val="Predvolenpsmoodseku"/>
    <w:link w:val="Hlavika"/>
    <w:uiPriority w:val="99"/>
    <w:rsid w:val="009E7DD4"/>
    <w:rPr>
      <w:rFonts w:ascii="Times New Roman" w:hAnsi="Times New Roman" w:cs="Times New Roman"/>
      <w:sz w:val="24"/>
    </w:rPr>
  </w:style>
  <w:style w:type="paragraph" w:customStyle="1" w:styleId="HeaderSensitivity">
    <w:name w:val="Header Sensitivity"/>
    <w:basedOn w:val="Normlny"/>
    <w:rsid w:val="009E7DD4"/>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HeaderSensitivityRight">
    <w:name w:val="Header Sensitivity Right"/>
    <w:basedOn w:val="Normlny"/>
    <w:rsid w:val="009E7DD4"/>
    <w:pPr>
      <w:jc w:val="right"/>
    </w:pPr>
    <w:rPr>
      <w:sz w:val="28"/>
    </w:rPr>
  </w:style>
  <w:style w:type="paragraph" w:customStyle="1" w:styleId="HeaderLandscape">
    <w:name w:val="HeaderLandscape"/>
    <w:basedOn w:val="Normlny"/>
    <w:rsid w:val="009E7DD4"/>
    <w:pPr>
      <w:tabs>
        <w:tab w:val="center" w:pos="7285"/>
        <w:tab w:val="right" w:pos="14003"/>
      </w:tabs>
    </w:pPr>
  </w:style>
  <w:style w:type="character" w:customStyle="1" w:styleId="Nadpis5Char">
    <w:name w:val="Nadpis 5 Char"/>
    <w:basedOn w:val="Predvolenpsmoodseku"/>
    <w:link w:val="Nadpis5"/>
    <w:uiPriority w:val="9"/>
    <w:semiHidden/>
    <w:rsid w:val="009E7DD4"/>
    <w:rPr>
      <w:rFonts w:ascii="Times New Roman" w:eastAsiaTheme="majorEastAsia" w:hAnsi="Times New Roman" w:cs="Times New Roman"/>
      <w:sz w:val="24"/>
    </w:rPr>
  </w:style>
  <w:style w:type="character" w:customStyle="1" w:styleId="Nadpis6Char">
    <w:name w:val="Nadpis 6 Char"/>
    <w:basedOn w:val="Predvolenpsmoodseku"/>
    <w:link w:val="Nadpis6"/>
    <w:uiPriority w:val="9"/>
    <w:semiHidden/>
    <w:rsid w:val="009E7DD4"/>
    <w:rPr>
      <w:rFonts w:ascii="Times New Roman" w:eastAsiaTheme="majorEastAsia" w:hAnsi="Times New Roman" w:cs="Times New Roman"/>
      <w:iCs/>
      <w:sz w:val="24"/>
    </w:rPr>
  </w:style>
  <w:style w:type="character" w:customStyle="1" w:styleId="Nadpis7Char">
    <w:name w:val="Nadpis 7 Char"/>
    <w:basedOn w:val="Predvolenpsmoodseku"/>
    <w:link w:val="Nadpis7"/>
    <w:uiPriority w:val="9"/>
    <w:semiHidden/>
    <w:rsid w:val="009E7DD4"/>
    <w:rPr>
      <w:rFonts w:ascii="Times New Roman" w:eastAsiaTheme="majorEastAsia" w:hAnsi="Times New Roman" w:cs="Times New Roman"/>
      <w:iCs/>
      <w:sz w:val="24"/>
    </w:rPr>
  </w:style>
  <w:style w:type="character" w:styleId="Hypertextovprepojenie">
    <w:name w:val="Hyperlink"/>
    <w:basedOn w:val="Predvolenpsmoodseku"/>
    <w:uiPriority w:val="99"/>
    <w:unhideWhenUsed/>
    <w:rsid w:val="009E7DD4"/>
    <w:rPr>
      <w:color w:val="0000FF" w:themeColor="hyperlink"/>
      <w:u w:val="single"/>
    </w:rPr>
  </w:style>
  <w:style w:type="paragraph" w:customStyle="1" w:styleId="Institutionquiagit">
    <w:name w:val="Institution qui agit"/>
    <w:basedOn w:val="Normlny"/>
    <w:next w:val="Normlny"/>
    <w:rsid w:val="009E7DD4"/>
    <w:pPr>
      <w:keepNext/>
      <w:spacing w:before="600"/>
    </w:pPr>
  </w:style>
  <w:style w:type="paragraph" w:customStyle="1" w:styleId="Institutionquisigne">
    <w:name w:val="Institution qui signe"/>
    <w:basedOn w:val="Normlny"/>
    <w:next w:val="Normlny"/>
    <w:rsid w:val="009E7DD4"/>
    <w:pPr>
      <w:keepNext/>
      <w:tabs>
        <w:tab w:val="left" w:pos="4252"/>
      </w:tabs>
      <w:spacing w:before="720" w:after="0"/>
    </w:pPr>
    <w:rPr>
      <w:i/>
    </w:rPr>
  </w:style>
  <w:style w:type="paragraph" w:customStyle="1" w:styleId="Languesfaisantfoi">
    <w:name w:val="Langues faisant foi"/>
    <w:basedOn w:val="Normlny"/>
    <w:next w:val="Normlny"/>
    <w:rsid w:val="009E7DD4"/>
    <w:pPr>
      <w:spacing w:before="360" w:after="0"/>
      <w:jc w:val="center"/>
    </w:pPr>
  </w:style>
  <w:style w:type="paragraph" w:customStyle="1" w:styleId="IntrtEEE">
    <w:name w:val="Intérêt EEE"/>
    <w:basedOn w:val="Languesfaisantfoi"/>
    <w:next w:val="Normlny"/>
    <w:rsid w:val="009E7DD4"/>
    <w:pPr>
      <w:spacing w:after="240"/>
    </w:pPr>
  </w:style>
  <w:style w:type="paragraph" w:customStyle="1" w:styleId="IntrtEEEPagedecouverture">
    <w:name w:val="Intérêt EEE (Page de couverture)"/>
    <w:basedOn w:val="IntrtEEE"/>
    <w:next w:val="Normlny"/>
    <w:rsid w:val="009E7DD4"/>
  </w:style>
  <w:style w:type="character" w:customStyle="1" w:styleId="italics">
    <w:name w:val="italics"/>
    <w:basedOn w:val="Predvolenpsmoodseku"/>
    <w:rsid w:val="009E7DD4"/>
  </w:style>
  <w:style w:type="paragraph" w:customStyle="1" w:styleId="Langue">
    <w:name w:val="Langue"/>
    <w:basedOn w:val="Normlny"/>
    <w:next w:val="Normlny"/>
    <w:rsid w:val="009E7DD4"/>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lny"/>
    <w:next w:val="Normlny"/>
    <w:rsid w:val="009E7DD4"/>
    <w:pPr>
      <w:spacing w:before="360" w:after="0"/>
      <w:jc w:val="center"/>
    </w:pPr>
  </w:style>
  <w:style w:type="paragraph" w:customStyle="1" w:styleId="LegalNumPar">
    <w:name w:val="LegalNumPar"/>
    <w:basedOn w:val="Normlny"/>
    <w:rsid w:val="009E7DD4"/>
    <w:pPr>
      <w:spacing w:line="360" w:lineRule="auto"/>
      <w:ind w:left="2636" w:hanging="476"/>
    </w:pPr>
  </w:style>
  <w:style w:type="paragraph" w:customStyle="1" w:styleId="LegalNumPar2">
    <w:name w:val="LegalNumPar2"/>
    <w:basedOn w:val="Normlny"/>
    <w:rsid w:val="009E7DD4"/>
    <w:pPr>
      <w:spacing w:line="360" w:lineRule="auto"/>
      <w:ind w:left="3113" w:hanging="477"/>
    </w:pPr>
  </w:style>
  <w:style w:type="paragraph" w:customStyle="1" w:styleId="LegalNumPar3">
    <w:name w:val="LegalNumPar3"/>
    <w:basedOn w:val="Normlny"/>
    <w:rsid w:val="009E7DD4"/>
    <w:pPr>
      <w:spacing w:line="360" w:lineRule="auto"/>
      <w:ind w:left="3589" w:hanging="476"/>
    </w:pPr>
  </w:style>
  <w:style w:type="paragraph" w:styleId="Zoznamsodrkami">
    <w:name w:val="List Bullet"/>
    <w:basedOn w:val="Normlny"/>
    <w:uiPriority w:val="99"/>
    <w:semiHidden/>
    <w:unhideWhenUsed/>
    <w:rsid w:val="009E7DD4"/>
    <w:pPr>
      <w:numPr>
        <w:numId w:val="20"/>
      </w:numPr>
      <w:contextualSpacing/>
    </w:pPr>
  </w:style>
  <w:style w:type="paragraph" w:styleId="Zoznamsodrkami2">
    <w:name w:val="List Bullet 2"/>
    <w:basedOn w:val="Normlny"/>
    <w:uiPriority w:val="99"/>
    <w:semiHidden/>
    <w:unhideWhenUsed/>
    <w:rsid w:val="009E7DD4"/>
    <w:pPr>
      <w:numPr>
        <w:numId w:val="22"/>
      </w:numPr>
      <w:contextualSpacing/>
    </w:pPr>
  </w:style>
  <w:style w:type="paragraph" w:styleId="Zoznamsodrkami3">
    <w:name w:val="List Bullet 3"/>
    <w:basedOn w:val="Normlny"/>
    <w:uiPriority w:val="99"/>
    <w:unhideWhenUsed/>
    <w:rsid w:val="009E7DD4"/>
    <w:pPr>
      <w:numPr>
        <w:numId w:val="24"/>
      </w:numPr>
      <w:contextualSpacing/>
    </w:pPr>
  </w:style>
  <w:style w:type="paragraph" w:styleId="Zoznamsodrkami4">
    <w:name w:val="List Bullet 4"/>
    <w:basedOn w:val="Normlny"/>
    <w:uiPriority w:val="99"/>
    <w:semiHidden/>
    <w:unhideWhenUsed/>
    <w:rsid w:val="009E7DD4"/>
    <w:pPr>
      <w:numPr>
        <w:numId w:val="26"/>
      </w:numPr>
      <w:contextualSpacing/>
    </w:pPr>
  </w:style>
  <w:style w:type="paragraph" w:styleId="slovanzoznam">
    <w:name w:val="List Number"/>
    <w:basedOn w:val="Normlny"/>
    <w:uiPriority w:val="99"/>
    <w:semiHidden/>
    <w:unhideWhenUsed/>
    <w:rsid w:val="009E7DD4"/>
    <w:pPr>
      <w:numPr>
        <w:numId w:val="28"/>
      </w:numPr>
      <w:contextualSpacing/>
    </w:pPr>
  </w:style>
  <w:style w:type="paragraph" w:styleId="slovanzoznam2">
    <w:name w:val="List Number 2"/>
    <w:basedOn w:val="Normlny"/>
    <w:uiPriority w:val="99"/>
    <w:semiHidden/>
    <w:unhideWhenUsed/>
    <w:rsid w:val="009E7DD4"/>
    <w:pPr>
      <w:numPr>
        <w:numId w:val="30"/>
      </w:numPr>
      <w:contextualSpacing/>
    </w:pPr>
  </w:style>
  <w:style w:type="paragraph" w:styleId="slovanzoznam3">
    <w:name w:val="List Number 3"/>
    <w:basedOn w:val="Normlny"/>
    <w:uiPriority w:val="99"/>
    <w:semiHidden/>
    <w:unhideWhenUsed/>
    <w:rsid w:val="009E7DD4"/>
    <w:pPr>
      <w:numPr>
        <w:numId w:val="32"/>
      </w:numPr>
      <w:contextualSpacing/>
    </w:pPr>
  </w:style>
  <w:style w:type="paragraph" w:styleId="slovanzoznam4">
    <w:name w:val="List Number 4"/>
    <w:basedOn w:val="Normlny"/>
    <w:uiPriority w:val="99"/>
    <w:semiHidden/>
    <w:unhideWhenUsed/>
    <w:rsid w:val="009E7DD4"/>
    <w:pPr>
      <w:numPr>
        <w:numId w:val="34"/>
      </w:numPr>
      <w:contextualSpacing/>
    </w:p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9E7DD4"/>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9E7DD4"/>
    <w:rPr>
      <w:rFonts w:ascii="Times New Roman" w:hAnsi="Times New Roman" w:cs="Times New Roman"/>
      <w:sz w:val="24"/>
    </w:rPr>
  </w:style>
  <w:style w:type="paragraph" w:customStyle="1" w:styleId="ManualConsidrant">
    <w:name w:val="Manual Considérant"/>
    <w:basedOn w:val="Normlny"/>
    <w:rsid w:val="009E7DD4"/>
    <w:pPr>
      <w:ind w:left="709" w:hanging="709"/>
    </w:pPr>
  </w:style>
  <w:style w:type="paragraph" w:customStyle="1" w:styleId="ManualHeading1">
    <w:name w:val="Manual Heading 1"/>
    <w:basedOn w:val="Normlny"/>
    <w:next w:val="Normlny"/>
    <w:rsid w:val="009E7DD4"/>
    <w:pPr>
      <w:keepNext/>
      <w:tabs>
        <w:tab w:val="left" w:pos="850"/>
      </w:tabs>
      <w:spacing w:before="360"/>
      <w:ind w:left="850" w:hanging="850"/>
      <w:outlineLvl w:val="0"/>
    </w:pPr>
    <w:rPr>
      <w:b/>
      <w:smallCaps/>
    </w:rPr>
  </w:style>
  <w:style w:type="paragraph" w:customStyle="1" w:styleId="ManualHeading2">
    <w:name w:val="Manual Heading 2"/>
    <w:basedOn w:val="Normlny"/>
    <w:next w:val="Normlny"/>
    <w:rsid w:val="009E7DD4"/>
    <w:pPr>
      <w:keepNext/>
      <w:tabs>
        <w:tab w:val="left" w:pos="850"/>
      </w:tabs>
      <w:ind w:left="850" w:hanging="850"/>
      <w:outlineLvl w:val="1"/>
    </w:pPr>
    <w:rPr>
      <w:b/>
    </w:rPr>
  </w:style>
  <w:style w:type="paragraph" w:customStyle="1" w:styleId="ManualHeading3">
    <w:name w:val="Manual Heading 3"/>
    <w:basedOn w:val="Normlny"/>
    <w:next w:val="Normlny"/>
    <w:rsid w:val="009E7DD4"/>
    <w:pPr>
      <w:keepNext/>
      <w:tabs>
        <w:tab w:val="left" w:pos="850"/>
      </w:tabs>
      <w:ind w:left="850" w:hanging="850"/>
      <w:outlineLvl w:val="2"/>
    </w:pPr>
    <w:rPr>
      <w:i/>
    </w:rPr>
  </w:style>
  <w:style w:type="paragraph" w:customStyle="1" w:styleId="ManualHeading4">
    <w:name w:val="Manual Heading 4"/>
    <w:basedOn w:val="Normlny"/>
    <w:next w:val="Normlny"/>
    <w:rsid w:val="009E7DD4"/>
    <w:pPr>
      <w:keepNext/>
      <w:tabs>
        <w:tab w:val="left" w:pos="850"/>
      </w:tabs>
      <w:ind w:left="850" w:hanging="850"/>
      <w:outlineLvl w:val="3"/>
    </w:pPr>
  </w:style>
  <w:style w:type="paragraph" w:customStyle="1" w:styleId="ManualHeading5">
    <w:name w:val="Manual Heading 5"/>
    <w:basedOn w:val="Normlny"/>
    <w:next w:val="Normlny"/>
    <w:rsid w:val="009E7DD4"/>
    <w:pPr>
      <w:keepNext/>
      <w:tabs>
        <w:tab w:val="left" w:pos="1417"/>
      </w:tabs>
      <w:ind w:left="1417" w:hanging="1417"/>
      <w:outlineLvl w:val="4"/>
    </w:pPr>
  </w:style>
  <w:style w:type="paragraph" w:customStyle="1" w:styleId="ManualHeading6">
    <w:name w:val="Manual Heading 6"/>
    <w:basedOn w:val="Normlny"/>
    <w:next w:val="Normlny"/>
    <w:rsid w:val="009E7DD4"/>
    <w:pPr>
      <w:keepNext/>
      <w:tabs>
        <w:tab w:val="left" w:pos="1417"/>
      </w:tabs>
      <w:ind w:left="1417" w:hanging="1417"/>
      <w:outlineLvl w:val="5"/>
    </w:pPr>
  </w:style>
  <w:style w:type="paragraph" w:customStyle="1" w:styleId="ManualHeading7">
    <w:name w:val="Manual Heading 7"/>
    <w:basedOn w:val="Normlny"/>
    <w:next w:val="Normlny"/>
    <w:rsid w:val="009E7DD4"/>
    <w:pPr>
      <w:keepNext/>
      <w:tabs>
        <w:tab w:val="left" w:pos="1417"/>
      </w:tabs>
      <w:ind w:left="1417" w:hanging="1417"/>
      <w:outlineLvl w:val="6"/>
    </w:pPr>
  </w:style>
  <w:style w:type="paragraph" w:customStyle="1" w:styleId="ManualNumPar1">
    <w:name w:val="Manual NumPar 1"/>
    <w:basedOn w:val="Normlny"/>
    <w:next w:val="Normlny"/>
    <w:rsid w:val="009E7DD4"/>
    <w:pPr>
      <w:ind w:left="850" w:hanging="850"/>
    </w:pPr>
  </w:style>
  <w:style w:type="paragraph" w:customStyle="1" w:styleId="ManualNumPar2">
    <w:name w:val="Manual NumPar 2"/>
    <w:basedOn w:val="Normlny"/>
    <w:next w:val="Normlny"/>
    <w:rsid w:val="009E7DD4"/>
    <w:pPr>
      <w:ind w:left="850" w:hanging="850"/>
    </w:pPr>
  </w:style>
  <w:style w:type="paragraph" w:customStyle="1" w:styleId="ManualNumPar3">
    <w:name w:val="Manual NumPar 3"/>
    <w:basedOn w:val="Normlny"/>
    <w:next w:val="Normlny"/>
    <w:rsid w:val="009E7DD4"/>
    <w:pPr>
      <w:ind w:left="850" w:hanging="850"/>
    </w:pPr>
  </w:style>
  <w:style w:type="paragraph" w:customStyle="1" w:styleId="ManualNumPar4">
    <w:name w:val="Manual NumPar 4"/>
    <w:basedOn w:val="Normlny"/>
    <w:next w:val="Normlny"/>
    <w:rsid w:val="009E7DD4"/>
    <w:pPr>
      <w:ind w:left="850" w:hanging="850"/>
    </w:pPr>
  </w:style>
  <w:style w:type="paragraph" w:customStyle="1" w:styleId="ManualNumPar5">
    <w:name w:val="Manual NumPar 5"/>
    <w:basedOn w:val="Normlny"/>
    <w:next w:val="Normlny"/>
    <w:rsid w:val="009E7DD4"/>
    <w:pPr>
      <w:ind w:left="1417" w:hanging="1417"/>
    </w:pPr>
  </w:style>
  <w:style w:type="paragraph" w:customStyle="1" w:styleId="ManualNumPar6">
    <w:name w:val="Manual NumPar 6"/>
    <w:basedOn w:val="Normlny"/>
    <w:next w:val="Normlny"/>
    <w:rsid w:val="009E7DD4"/>
    <w:pPr>
      <w:ind w:left="1417" w:hanging="1417"/>
    </w:pPr>
  </w:style>
  <w:style w:type="paragraph" w:customStyle="1" w:styleId="ManualNumPar7">
    <w:name w:val="Manual NumPar 7"/>
    <w:basedOn w:val="Normlny"/>
    <w:next w:val="Normlny"/>
    <w:rsid w:val="009E7DD4"/>
    <w:pPr>
      <w:ind w:left="1417" w:hanging="1417"/>
    </w:pPr>
  </w:style>
  <w:style w:type="character" w:customStyle="1" w:styleId="Marker">
    <w:name w:val="Marker"/>
    <w:basedOn w:val="Predvolenpsmoodseku"/>
    <w:rsid w:val="009E7DD4"/>
    <w:rPr>
      <w:color w:val="0000FF"/>
      <w:shd w:val="clear" w:color="auto" w:fill="auto"/>
    </w:rPr>
  </w:style>
  <w:style w:type="character" w:customStyle="1" w:styleId="Marker1">
    <w:name w:val="Marker1"/>
    <w:basedOn w:val="Predvolenpsmoodseku"/>
    <w:rsid w:val="009E7DD4"/>
    <w:rPr>
      <w:color w:val="008000"/>
      <w:shd w:val="clear" w:color="auto" w:fill="auto"/>
    </w:rPr>
  </w:style>
  <w:style w:type="character" w:customStyle="1" w:styleId="Marker2">
    <w:name w:val="Marker2"/>
    <w:basedOn w:val="Predvolenpsmoodseku"/>
    <w:rsid w:val="009E7DD4"/>
    <w:rPr>
      <w:color w:val="FF0000"/>
      <w:shd w:val="clear" w:color="auto" w:fill="auto"/>
    </w:rPr>
  </w:style>
  <w:style w:type="paragraph" w:styleId="Bezriadkovania">
    <w:name w:val="No Spacing"/>
    <w:uiPriority w:val="1"/>
    <w:qFormat/>
    <w:rsid w:val="009E7DD4"/>
    <w:pPr>
      <w:spacing w:after="0" w:line="240" w:lineRule="auto"/>
      <w:jc w:val="both"/>
    </w:pPr>
    <w:rPr>
      <w:rFonts w:ascii="Times New Roman" w:hAnsi="Times New Roman" w:cs="Times New Roman"/>
      <w:sz w:val="24"/>
    </w:rPr>
  </w:style>
  <w:style w:type="paragraph" w:customStyle="1" w:styleId="Nomdelinstitution">
    <w:name w:val="Nom de l'institution"/>
    <w:basedOn w:val="Normlny"/>
    <w:next w:val="Emission"/>
    <w:rsid w:val="009E7DD4"/>
    <w:pPr>
      <w:spacing w:after="0"/>
    </w:pPr>
    <w:rPr>
      <w:rFonts w:ascii="Arial" w:hAnsi="Arial" w:cs="Arial"/>
    </w:rPr>
  </w:style>
  <w:style w:type="paragraph" w:customStyle="1" w:styleId="Nomral">
    <w:name w:val="Nomral"/>
    <w:basedOn w:val="Normlny"/>
    <w:rsid w:val="009E7DD4"/>
    <w:pPr>
      <w:ind w:left="850" w:hanging="850"/>
    </w:pPr>
  </w:style>
  <w:style w:type="paragraph" w:customStyle="1" w:styleId="norm">
    <w:name w:val="norm"/>
    <w:basedOn w:val="Normlny"/>
    <w:rsid w:val="009E7DD4"/>
    <w:pPr>
      <w:spacing w:before="100" w:beforeAutospacing="1" w:after="100" w:afterAutospacing="1"/>
    </w:pPr>
    <w:rPr>
      <w:rFonts w:eastAsia="Times New Roman"/>
      <w:szCs w:val="24"/>
      <w:lang w:val="en-US"/>
    </w:rPr>
  </w:style>
  <w:style w:type="paragraph" w:customStyle="1" w:styleId="norm2">
    <w:name w:val="norm2"/>
    <w:basedOn w:val="Normlny"/>
    <w:rsid w:val="009E7DD4"/>
    <w:pPr>
      <w:spacing w:after="0" w:line="312" w:lineRule="atLeast"/>
    </w:pPr>
    <w:rPr>
      <w:rFonts w:eastAsia="Times New Roman"/>
      <w:szCs w:val="24"/>
      <w:lang w:eastAsia="en-GB"/>
    </w:rPr>
  </w:style>
  <w:style w:type="paragraph" w:styleId="Normlnywebov">
    <w:name w:val="Normal (Web)"/>
    <w:basedOn w:val="Normlny"/>
    <w:uiPriority w:val="99"/>
    <w:semiHidden/>
    <w:unhideWhenUsed/>
    <w:rsid w:val="009E7DD4"/>
    <w:pPr>
      <w:spacing w:before="100" w:beforeAutospacing="1" w:after="100" w:afterAutospacing="1"/>
    </w:pPr>
    <w:rPr>
      <w:rFonts w:eastAsia="Times New Roman"/>
      <w:szCs w:val="24"/>
      <w:lang w:eastAsia="en-GB"/>
    </w:rPr>
  </w:style>
  <w:style w:type="paragraph" w:customStyle="1" w:styleId="NormalCentered">
    <w:name w:val="Normal Centered"/>
    <w:basedOn w:val="Normlny"/>
    <w:rsid w:val="009E7DD4"/>
    <w:pPr>
      <w:jc w:val="center"/>
    </w:pPr>
  </w:style>
  <w:style w:type="paragraph" w:customStyle="1" w:styleId="NormalLeft">
    <w:name w:val="Normal Left"/>
    <w:basedOn w:val="Normlny"/>
    <w:rsid w:val="009E7DD4"/>
  </w:style>
  <w:style w:type="paragraph" w:customStyle="1" w:styleId="NormalRight">
    <w:name w:val="Normal Right"/>
    <w:basedOn w:val="Normlny"/>
    <w:rsid w:val="009E7DD4"/>
    <w:pPr>
      <w:jc w:val="right"/>
    </w:pPr>
  </w:style>
  <w:style w:type="paragraph" w:customStyle="1" w:styleId="NumPar1">
    <w:name w:val="NumPar 1"/>
    <w:basedOn w:val="Normlny"/>
    <w:next w:val="Normlny"/>
    <w:rsid w:val="009E7DD4"/>
    <w:pPr>
      <w:numPr>
        <w:numId w:val="41"/>
      </w:numPr>
    </w:pPr>
  </w:style>
  <w:style w:type="paragraph" w:customStyle="1" w:styleId="NumPar2">
    <w:name w:val="NumPar 2"/>
    <w:basedOn w:val="Normlny"/>
    <w:next w:val="Normlny"/>
    <w:rsid w:val="009E7DD4"/>
    <w:pPr>
      <w:numPr>
        <w:ilvl w:val="1"/>
        <w:numId w:val="41"/>
      </w:numPr>
    </w:pPr>
  </w:style>
  <w:style w:type="paragraph" w:customStyle="1" w:styleId="NumPar3">
    <w:name w:val="NumPar 3"/>
    <w:basedOn w:val="Normlny"/>
    <w:next w:val="Normlny"/>
    <w:rsid w:val="009E7DD4"/>
    <w:pPr>
      <w:numPr>
        <w:ilvl w:val="2"/>
        <w:numId w:val="41"/>
      </w:numPr>
    </w:pPr>
  </w:style>
  <w:style w:type="paragraph" w:customStyle="1" w:styleId="NumPar4">
    <w:name w:val="NumPar 4"/>
    <w:basedOn w:val="Normlny"/>
    <w:next w:val="Normlny"/>
    <w:rsid w:val="009E7DD4"/>
    <w:pPr>
      <w:numPr>
        <w:ilvl w:val="3"/>
        <w:numId w:val="41"/>
      </w:numPr>
    </w:pPr>
  </w:style>
  <w:style w:type="paragraph" w:customStyle="1" w:styleId="NumPar5">
    <w:name w:val="NumPar 5"/>
    <w:basedOn w:val="Normlny"/>
    <w:next w:val="Normlny"/>
    <w:rsid w:val="009E7DD4"/>
    <w:pPr>
      <w:numPr>
        <w:ilvl w:val="4"/>
        <w:numId w:val="41"/>
      </w:numPr>
    </w:pPr>
  </w:style>
  <w:style w:type="paragraph" w:customStyle="1" w:styleId="NumPar6">
    <w:name w:val="NumPar 6"/>
    <w:basedOn w:val="Normlny"/>
    <w:next w:val="Normlny"/>
    <w:rsid w:val="009E7DD4"/>
    <w:pPr>
      <w:numPr>
        <w:ilvl w:val="5"/>
        <w:numId w:val="41"/>
      </w:numPr>
    </w:pPr>
  </w:style>
  <w:style w:type="paragraph" w:customStyle="1" w:styleId="NumPar7">
    <w:name w:val="NumPar 7"/>
    <w:basedOn w:val="Normlny"/>
    <w:next w:val="Normlny"/>
    <w:rsid w:val="009E7DD4"/>
    <w:pPr>
      <w:numPr>
        <w:ilvl w:val="6"/>
        <w:numId w:val="41"/>
      </w:numPr>
    </w:pPr>
  </w:style>
  <w:style w:type="paragraph" w:customStyle="1" w:styleId="Objetacteprincipal">
    <w:name w:val="Objet acte principal"/>
    <w:basedOn w:val="Normlny"/>
    <w:next w:val="Normlny"/>
    <w:rsid w:val="009E7DD4"/>
    <w:pPr>
      <w:spacing w:after="360"/>
      <w:jc w:val="center"/>
    </w:pPr>
    <w:rPr>
      <w:b/>
    </w:rPr>
  </w:style>
  <w:style w:type="paragraph" w:customStyle="1" w:styleId="ObjetacteprincipalPagedecouverture">
    <w:name w:val="Objet acte principal (Page de couverture)"/>
    <w:basedOn w:val="Objetacteprincipal"/>
    <w:next w:val="Normlny"/>
    <w:rsid w:val="009E7DD4"/>
  </w:style>
  <w:style w:type="paragraph" w:customStyle="1" w:styleId="Objetexterne">
    <w:name w:val="Objet externe"/>
    <w:basedOn w:val="Normlny"/>
    <w:next w:val="Normlny"/>
    <w:rsid w:val="009E7DD4"/>
    <w:rPr>
      <w:i/>
      <w:caps/>
    </w:rPr>
  </w:style>
  <w:style w:type="paragraph" w:customStyle="1" w:styleId="Pagedecouverture">
    <w:name w:val="Page de couverture"/>
    <w:basedOn w:val="Normlny"/>
    <w:next w:val="Normlny"/>
    <w:rsid w:val="009E7DD4"/>
    <w:pPr>
      <w:spacing w:after="0"/>
    </w:pPr>
  </w:style>
  <w:style w:type="paragraph" w:customStyle="1" w:styleId="PartTitle">
    <w:name w:val="PartTitle"/>
    <w:basedOn w:val="Normlny"/>
    <w:next w:val="ChapterTitle"/>
    <w:rsid w:val="009E7DD4"/>
    <w:pPr>
      <w:keepNext/>
      <w:pageBreakBefore/>
      <w:spacing w:after="360"/>
      <w:jc w:val="center"/>
    </w:pPr>
    <w:rPr>
      <w:b/>
      <w:sz w:val="36"/>
    </w:rPr>
  </w:style>
  <w:style w:type="paragraph" w:customStyle="1" w:styleId="Personnequisigne">
    <w:name w:val="Personne qui signe"/>
    <w:basedOn w:val="Normlny"/>
    <w:next w:val="Institutionquisigne"/>
    <w:rsid w:val="009E7DD4"/>
    <w:pPr>
      <w:tabs>
        <w:tab w:val="left" w:pos="4252"/>
      </w:tabs>
      <w:spacing w:after="0"/>
    </w:pPr>
    <w:rPr>
      <w:i/>
    </w:rPr>
  </w:style>
  <w:style w:type="paragraph" w:customStyle="1" w:styleId="Poin1">
    <w:name w:val="Poin 1"/>
    <w:basedOn w:val="Normlny"/>
    <w:rsid w:val="009E7DD4"/>
    <w:pPr>
      <w:ind w:left="1417" w:hanging="567"/>
    </w:pPr>
    <w:rPr>
      <w:noProof/>
      <w:lang w:val="en-IE"/>
    </w:rPr>
  </w:style>
  <w:style w:type="paragraph" w:customStyle="1" w:styleId="Stylei">
    <w:name w:val="Style (i)"/>
    <w:basedOn w:val="Normlny"/>
    <w:qFormat/>
    <w:rsid w:val="003358A3"/>
    <w:pPr>
      <w:numPr>
        <w:numId w:val="42"/>
      </w:numPr>
    </w:pPr>
  </w:style>
  <w:style w:type="paragraph" w:customStyle="1" w:styleId="Style2">
    <w:name w:val="Style2"/>
    <w:basedOn w:val="Normlny"/>
    <w:link w:val="Style2Char"/>
    <w:qFormat/>
    <w:rsid w:val="00902B0E"/>
    <w:pPr>
      <w:tabs>
        <w:tab w:val="left" w:leader="dot" w:pos="9072"/>
      </w:tabs>
      <w:ind w:left="720"/>
    </w:pPr>
  </w:style>
  <w:style w:type="character" w:customStyle="1" w:styleId="Style2Char">
    <w:name w:val="Style2 Char"/>
    <w:basedOn w:val="Predvolenpsmoodseku"/>
    <w:link w:val="Style2"/>
    <w:rsid w:val="00902B0E"/>
    <w:rPr>
      <w:rFonts w:ascii="Times New Roman" w:hAnsi="Times New Roman" w:cs="Times New Roman"/>
      <w:kern w:val="0"/>
      <w:sz w:val="24"/>
      <w14:ligatures w14:val="none"/>
    </w:rPr>
  </w:style>
  <w:style w:type="paragraph" w:customStyle="1" w:styleId="NormalKop11">
    <w:name w:val="Normal Kop 1.1"/>
    <w:basedOn w:val="Normlny"/>
    <w:next w:val="Normlny"/>
    <w:rsid w:val="00E81978"/>
    <w:pPr>
      <w:numPr>
        <w:ilvl w:val="1"/>
        <w:numId w:val="43"/>
      </w:numPr>
      <w:tabs>
        <w:tab w:val="left" w:pos="720"/>
        <w:tab w:val="left" w:pos="1077"/>
        <w:tab w:val="left" w:pos="1440"/>
        <w:tab w:val="left" w:pos="1797"/>
      </w:tabs>
      <w:spacing w:before="360" w:after="240"/>
    </w:pPr>
    <w:rPr>
      <w:rFonts w:eastAsia="Times New Roman" w:cs="Arial Unicode MS"/>
      <w:szCs w:val="24"/>
      <w:lang w:eastAsia="en-GB" w:bidi="si-LK"/>
    </w:rPr>
  </w:style>
  <w:style w:type="paragraph" w:customStyle="1" w:styleId="NormalKop111">
    <w:name w:val="Normal Kop 1.1.1"/>
    <w:basedOn w:val="NormalKop11"/>
    <w:rsid w:val="00E81978"/>
    <w:pPr>
      <w:numPr>
        <w:ilvl w:val="0"/>
        <w:numId w:val="0"/>
      </w:numPr>
      <w:tabs>
        <w:tab w:val="clear" w:pos="1077"/>
      </w:tabs>
      <w:spacing w:before="240" w:after="120"/>
      <w:ind w:left="720"/>
    </w:pPr>
  </w:style>
  <w:style w:type="paragraph" w:customStyle="1" w:styleId="Normal127">
    <w:name w:val="Normal 127"/>
    <w:basedOn w:val="NormalKop111"/>
    <w:qFormat/>
    <w:rsid w:val="00E81978"/>
  </w:style>
  <w:style w:type="paragraph" w:customStyle="1" w:styleId="Normal127Bullet63">
    <w:name w:val="Normal 127 Bullet63"/>
    <w:basedOn w:val="Normlny"/>
    <w:rsid w:val="00E81978"/>
    <w:pPr>
      <w:numPr>
        <w:numId w:val="44"/>
      </w:numPr>
      <w:tabs>
        <w:tab w:val="left" w:pos="720"/>
        <w:tab w:val="left" w:pos="1077"/>
        <w:tab w:val="left" w:pos="1440"/>
        <w:tab w:val="left" w:pos="1797"/>
        <w:tab w:val="left" w:pos="2161"/>
      </w:tabs>
      <w:spacing w:after="0"/>
    </w:pPr>
    <w:rPr>
      <w:rFonts w:eastAsia="Times New Roman" w:cs="Arial Unicode MS"/>
      <w:szCs w:val="24"/>
      <w:lang w:eastAsia="en-GB" w:bidi="si-LK"/>
    </w:rPr>
  </w:style>
  <w:style w:type="paragraph" w:customStyle="1" w:styleId="Normal127Indent127">
    <w:name w:val="Normal 127 Indent 127"/>
    <w:basedOn w:val="NormalKop111"/>
    <w:qFormat/>
    <w:rsid w:val="00E81978"/>
    <w:pPr>
      <w:spacing w:before="120"/>
    </w:pPr>
  </w:style>
  <w:style w:type="paragraph" w:customStyle="1" w:styleId="Style1-answer">
    <w:name w:val="Style1-answer"/>
    <w:basedOn w:val="Normlny"/>
    <w:qFormat/>
    <w:rsid w:val="00C8371F"/>
    <w:pPr>
      <w:tabs>
        <w:tab w:val="left" w:leader="dot" w:pos="9072"/>
      </w:tabs>
      <w:ind w:left="567"/>
    </w:pPr>
    <w:rPr>
      <w:noProof/>
      <w:lang w:val="lv-LV"/>
    </w:rPr>
  </w:style>
  <w:style w:type="character" w:customStyle="1" w:styleId="Nadpis8Char">
    <w:name w:val="Nadpis 8 Char"/>
    <w:basedOn w:val="Predvolenpsmoodseku"/>
    <w:link w:val="Nadpis8"/>
    <w:uiPriority w:val="9"/>
    <w:semiHidden/>
    <w:rsid w:val="007D4BDB"/>
    <w:rPr>
      <w:rFonts w:eastAsiaTheme="majorEastAsia" w:cstheme="majorBidi"/>
      <w:i/>
      <w:iCs/>
      <w:color w:val="272727" w:themeColor="text1" w:themeTint="D8"/>
      <w:sz w:val="24"/>
    </w:rPr>
  </w:style>
  <w:style w:type="character" w:customStyle="1" w:styleId="Nadpis9Char">
    <w:name w:val="Nadpis 9 Char"/>
    <w:basedOn w:val="Predvolenpsmoodseku"/>
    <w:link w:val="Nadpis9"/>
    <w:uiPriority w:val="9"/>
    <w:semiHidden/>
    <w:rsid w:val="007D4BDB"/>
    <w:rPr>
      <w:rFonts w:eastAsiaTheme="majorEastAsia" w:cstheme="majorBidi"/>
      <w:color w:val="272727" w:themeColor="text1" w:themeTint="D8"/>
      <w:sz w:val="24"/>
    </w:rPr>
  </w:style>
  <w:style w:type="paragraph" w:styleId="Nzov">
    <w:name w:val="Title"/>
    <w:basedOn w:val="Normlny"/>
    <w:next w:val="Normlny"/>
    <w:link w:val="NzovChar"/>
    <w:uiPriority w:val="10"/>
    <w:qFormat/>
    <w:rsid w:val="007D4BD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D4BD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D4B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D4BD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D4BDB"/>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7D4BDB"/>
    <w:rPr>
      <w:rFonts w:ascii="Times New Roman" w:hAnsi="Times New Roman"/>
      <w:i/>
      <w:iCs/>
      <w:color w:val="404040" w:themeColor="text1" w:themeTint="BF"/>
      <w:sz w:val="24"/>
    </w:rPr>
  </w:style>
  <w:style w:type="character" w:styleId="Intenzvnezvraznenie">
    <w:name w:val="Intense Emphasis"/>
    <w:basedOn w:val="Predvolenpsmoodseku"/>
    <w:uiPriority w:val="21"/>
    <w:qFormat/>
    <w:rsid w:val="007D4BDB"/>
    <w:rPr>
      <w:i/>
      <w:iCs/>
      <w:color w:val="365F91" w:themeColor="accent1" w:themeShade="BF"/>
    </w:rPr>
  </w:style>
  <w:style w:type="paragraph" w:styleId="Zvraznencitcia">
    <w:name w:val="Intense Quote"/>
    <w:basedOn w:val="Normlny"/>
    <w:next w:val="Normlny"/>
    <w:link w:val="ZvraznencitciaChar"/>
    <w:uiPriority w:val="30"/>
    <w:qFormat/>
    <w:rsid w:val="007D4BD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D4BDB"/>
    <w:rPr>
      <w:rFonts w:ascii="Times New Roman" w:hAnsi="Times New Roman"/>
      <w:i/>
      <w:iCs/>
      <w:color w:val="365F91" w:themeColor="accent1" w:themeShade="BF"/>
      <w:sz w:val="24"/>
    </w:rPr>
  </w:style>
  <w:style w:type="character" w:styleId="Zvraznenodkaz">
    <w:name w:val="Intense Reference"/>
    <w:basedOn w:val="Predvolenpsmoodseku"/>
    <w:uiPriority w:val="32"/>
    <w:qFormat/>
    <w:rsid w:val="007D4BDB"/>
    <w:rPr>
      <w:b/>
      <w:bCs/>
      <w:smallCaps/>
      <w:color w:val="365F91" w:themeColor="accent1" w:themeShade="BF"/>
      <w:spacing w:val="5"/>
    </w:rPr>
  </w:style>
  <w:style w:type="paragraph" w:customStyle="1" w:styleId="SUPERSChar">
    <w:name w:val="SUPERS Char"/>
    <w:aliases w:val="EN Footnote Reference Char"/>
    <w:basedOn w:val="Normlny"/>
    <w:link w:val="Odkaznapoznmkupodiarou"/>
    <w:uiPriority w:val="99"/>
    <w:rsid w:val="007D4BDB"/>
    <w:pPr>
      <w:spacing w:before="0" w:after="160" w:line="240" w:lineRule="exact"/>
      <w:jc w:val="left"/>
    </w:pPr>
    <w:rPr>
      <w:rFonts w:asciiTheme="minorHAnsi" w:hAnsiTheme="minorHAnsi" w:cstheme="minorBidi"/>
      <w:kern w:val="2"/>
      <w:sz w:val="22"/>
      <w:vertAlign w:val="superscript"/>
      <w:lang w:val="en-GB"/>
      <w14:ligatures w14:val="standardContextual"/>
    </w:rPr>
  </w:style>
  <w:style w:type="paragraph" w:customStyle="1" w:styleId="Text1">
    <w:name w:val="Text 1"/>
    <w:basedOn w:val="Normlny"/>
    <w:rsid w:val="007D4BDB"/>
    <w:pPr>
      <w:ind w:left="850"/>
    </w:pPr>
  </w:style>
  <w:style w:type="paragraph" w:customStyle="1" w:styleId="Text2">
    <w:name w:val="Text 2"/>
    <w:basedOn w:val="Normlny"/>
    <w:rsid w:val="007D4BDB"/>
    <w:pPr>
      <w:ind w:left="1417"/>
    </w:pPr>
  </w:style>
  <w:style w:type="paragraph" w:customStyle="1" w:styleId="Point1">
    <w:name w:val="Point 1"/>
    <w:basedOn w:val="Normlny"/>
    <w:rsid w:val="007D4BDB"/>
    <w:pPr>
      <w:ind w:left="1417" w:hanging="567"/>
    </w:pPr>
  </w:style>
  <w:style w:type="paragraph" w:customStyle="1" w:styleId="Tiret1">
    <w:name w:val="Tiret 1"/>
    <w:basedOn w:val="Point1"/>
    <w:rsid w:val="007D4BDB"/>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forms-notifications-and-reporting_en?prefLang=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3451</Words>
  <Characters>19676</Characters>
  <Application>Microsoft Office Word</Application>
  <DocSecurity>0</DocSecurity>
  <Lines>163</Lines>
  <Paragraphs>46</Paragraphs>
  <ScaleCrop>false</ScaleCrop>
  <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Mészárosová Mikušová</dc:creator>
  <cp:keywords/>
  <dc:description/>
  <cp:lastModifiedBy>Zuzana Mészárosová Mikušová</cp:lastModifiedBy>
  <cp:revision>2</cp:revision>
  <dcterms:created xsi:type="dcterms:W3CDTF">2026-03-06T08:41:00Z</dcterms:created>
  <dcterms:modified xsi:type="dcterms:W3CDTF">2026-03-06T08:41:00Z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2025-06-09T09:34:14Z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9ee44d32-8cf5-4868-b561-052372f604d5</vt:lpwstr>
  </property>
  <property fmtid="{D5CDD505-2E9C-101B-9397-08002B2CF9AE}" pid="8" name="MSIP_Label_6bd9ddd1-4d20-43f6-abfa-fc3c07406f94_ContentBits">
    <vt:lpwstr>0</vt:lpwstr>
  </property>
</Properties>
</file>